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eastAsia="Times New Roman" w:cs="Times New Roman"/>
          <w:szCs w:val="28"/>
          <w:lang w:eastAsia="ru-RU"/>
        </w:rPr>
        <w:id w:val="1853063676"/>
        <w:docPartObj>
          <w:docPartGallery w:val="Cover Pages"/>
          <w:docPartUnique/>
        </w:docPartObj>
      </w:sdtPr>
      <w:sdtEndPr>
        <w:rPr>
          <w:b/>
          <w:bCs/>
          <w:color w:val="000000" w:themeColor="text1"/>
        </w:rPr>
      </w:sdtEndPr>
      <w:sdtContent>
        <w:p w14:paraId="328CDD8C" w14:textId="77777777" w:rsidR="00B13C56" w:rsidRDefault="00B13C56" w:rsidP="00B13C56">
          <w:pPr>
            <w:jc w:val="center"/>
            <w:rPr>
              <w:sz w:val="22"/>
            </w:rPr>
          </w:pPr>
          <w:r>
            <w:rPr>
              <w:b/>
              <w:bCs/>
              <w:color w:val="333399"/>
              <w:sz w:val="32"/>
              <w:szCs w:val="32"/>
            </w:rPr>
            <w:t>Автономная некоммерческая организация</w:t>
          </w:r>
        </w:p>
        <w:p w14:paraId="611C14A1" w14:textId="77777777" w:rsidR="00B13C56" w:rsidRDefault="00B13C56" w:rsidP="00B13C56">
          <w:pPr>
            <w:jc w:val="center"/>
          </w:pPr>
          <w:r>
            <w:rPr>
              <w:b/>
              <w:bCs/>
              <w:color w:val="333399"/>
              <w:sz w:val="32"/>
              <w:szCs w:val="32"/>
            </w:rPr>
            <w:t>«Аналитический центр «АЭРОНЕТ»</w:t>
          </w:r>
        </w:p>
        <w:p w14:paraId="0D505D5A" w14:textId="77777777" w:rsidR="00B13C56" w:rsidRDefault="00B13C56" w:rsidP="00B13C56">
          <w:pPr>
            <w:jc w:val="center"/>
          </w:pPr>
          <w:r>
            <w:rPr>
              <w:b/>
              <w:bCs/>
              <w:color w:val="333399"/>
              <w:sz w:val="32"/>
              <w:szCs w:val="32"/>
            </w:rPr>
            <w:t>(АНО «ЦЕНТР «АЭРОНЕТ»)</w:t>
          </w:r>
        </w:p>
        <w:p w14:paraId="5F19F8A5" w14:textId="77777777" w:rsidR="00B13C56" w:rsidRDefault="00B13C56" w:rsidP="00B13C56">
          <w:pPr>
            <w:jc w:val="center"/>
          </w:pPr>
          <w:r>
            <w:rPr>
              <w:color w:val="333399"/>
              <w:sz w:val="24"/>
              <w:szCs w:val="24"/>
            </w:rPr>
            <w:t>ИНН 9701111450  КПП  770101001</w:t>
          </w:r>
        </w:p>
        <w:p w14:paraId="0264BF91" w14:textId="77777777" w:rsidR="00B13C56" w:rsidRDefault="00B13C56" w:rsidP="00B13C56">
          <w:pPr>
            <w:jc w:val="center"/>
          </w:pPr>
          <w:r>
            <w:rPr>
              <w:color w:val="333399"/>
              <w:sz w:val="24"/>
              <w:szCs w:val="24"/>
            </w:rPr>
            <w:t>105005, г. Москва, ул. Бауманская 2-я, д. 5, корп. 1</w:t>
          </w:r>
        </w:p>
        <w:p w14:paraId="6E15C72F" w14:textId="77777777" w:rsidR="00B13C56" w:rsidRDefault="00F75FF2" w:rsidP="00B13C56">
          <w:pPr>
            <w:jc w:val="center"/>
            <w:rPr>
              <w:color w:val="333399"/>
              <w:sz w:val="24"/>
              <w:szCs w:val="24"/>
            </w:rPr>
          </w:pPr>
          <w:hyperlink r:id="rId8" w:history="1">
            <w:r w:rsidR="00B13C56" w:rsidRPr="003F4728">
              <w:rPr>
                <w:rStyle w:val="Hyperlink"/>
                <w:sz w:val="24"/>
                <w:szCs w:val="24"/>
              </w:rPr>
              <w:t>nti-aeronet@mail.ru</w:t>
            </w:r>
          </w:hyperlink>
        </w:p>
        <w:p w14:paraId="5487480B" w14:textId="77777777" w:rsidR="00B13C56" w:rsidRDefault="00B13C56" w:rsidP="00B13C56">
          <w:pPr>
            <w:pStyle w:val="a"/>
          </w:pPr>
        </w:p>
        <w:p w14:paraId="340CA5CE" w14:textId="77777777" w:rsidR="00B13C56" w:rsidRPr="00C0598A" w:rsidRDefault="00B13C56" w:rsidP="00B13C56">
          <w:pPr>
            <w:jc w:val="center"/>
            <w:rPr>
              <w:sz w:val="24"/>
              <w:szCs w:val="24"/>
            </w:rPr>
          </w:pPr>
          <w:r w:rsidRPr="00C0598A">
            <w:rPr>
              <w:color w:val="000000" w:themeColor="text1"/>
              <w:sz w:val="40"/>
              <w:szCs w:val="24"/>
            </w:rPr>
            <w:t>Инфраструктурный центр «Аэронет</w:t>
          </w:r>
          <w:r>
            <w:rPr>
              <w:color w:val="000000" w:themeColor="text1"/>
              <w:sz w:val="40"/>
              <w:szCs w:val="24"/>
            </w:rPr>
            <w:t>»</w:t>
          </w:r>
        </w:p>
        <w:p w14:paraId="4342C41C" w14:textId="77777777" w:rsidR="00B13C56" w:rsidRDefault="00B13C56" w:rsidP="00B13C56">
          <w:pPr>
            <w:pStyle w:val="a"/>
            <w:ind w:firstLine="0"/>
            <w:jc w:val="center"/>
          </w:pPr>
        </w:p>
        <w:p w14:paraId="30635705" w14:textId="77777777" w:rsidR="008F3BDF" w:rsidRDefault="008F3BDF" w:rsidP="00B13C56">
          <w:pPr>
            <w:pStyle w:val="a"/>
            <w:ind w:firstLine="0"/>
            <w:jc w:val="center"/>
          </w:pPr>
        </w:p>
        <w:p w14:paraId="6E0E25F8" w14:textId="77777777" w:rsidR="008F3BDF" w:rsidRDefault="008F3BDF" w:rsidP="00B13C56">
          <w:pPr>
            <w:pStyle w:val="a"/>
            <w:ind w:firstLine="0"/>
            <w:jc w:val="center"/>
          </w:pPr>
        </w:p>
        <w:p w14:paraId="2FD37C0D" w14:textId="77777777" w:rsidR="008F3BDF" w:rsidRDefault="008F3BDF" w:rsidP="00B13C56">
          <w:pPr>
            <w:pStyle w:val="a"/>
            <w:ind w:firstLine="0"/>
            <w:jc w:val="center"/>
          </w:pPr>
        </w:p>
        <w:p w14:paraId="5F4ADA5C" w14:textId="77777777" w:rsidR="008F3BDF" w:rsidRDefault="008F3BDF" w:rsidP="00B13C56">
          <w:pPr>
            <w:pStyle w:val="a"/>
            <w:ind w:firstLine="0"/>
            <w:jc w:val="center"/>
          </w:pPr>
        </w:p>
        <w:p w14:paraId="55A7DAE1" w14:textId="77777777" w:rsidR="008F3BDF" w:rsidRDefault="008F3BDF" w:rsidP="00B13C56">
          <w:pPr>
            <w:pStyle w:val="a"/>
            <w:ind w:firstLine="0"/>
            <w:jc w:val="center"/>
          </w:pPr>
        </w:p>
        <w:p w14:paraId="736A4242" w14:textId="77777777" w:rsidR="00B13C56" w:rsidRDefault="00B13C56" w:rsidP="00B13C56">
          <w:pPr>
            <w:pStyle w:val="a"/>
            <w:ind w:firstLine="0"/>
            <w:jc w:val="center"/>
          </w:pPr>
        </w:p>
        <w:p w14:paraId="4E7CC0E2" w14:textId="6750EA61" w:rsidR="00B13C56" w:rsidRPr="008F3BDF" w:rsidRDefault="00B13C56" w:rsidP="00B13C56">
          <w:pPr>
            <w:pStyle w:val="a"/>
            <w:spacing w:line="240" w:lineRule="auto"/>
            <w:ind w:firstLine="0"/>
            <w:jc w:val="center"/>
            <w:rPr>
              <w:b/>
              <w:sz w:val="56"/>
            </w:rPr>
          </w:pPr>
          <w:r w:rsidRPr="008F3BDF">
            <w:rPr>
              <w:b/>
              <w:sz w:val="56"/>
            </w:rPr>
            <w:t>Актуализация плана мероприятий («дорожной карты») Аэронет Национальной технологической инициативы в 2021 г.</w:t>
          </w:r>
        </w:p>
        <w:p w14:paraId="23006EF4" w14:textId="77777777" w:rsidR="00B13C56" w:rsidRDefault="00B13C56" w:rsidP="00B13C56">
          <w:pPr>
            <w:pStyle w:val="a"/>
            <w:ind w:firstLine="0"/>
            <w:jc w:val="center"/>
          </w:pPr>
        </w:p>
        <w:p w14:paraId="74D5CFD5" w14:textId="77777777" w:rsidR="00B13C56" w:rsidRDefault="00B13C56" w:rsidP="00B13C56">
          <w:pPr>
            <w:pStyle w:val="a"/>
            <w:ind w:firstLine="0"/>
            <w:jc w:val="center"/>
          </w:pPr>
        </w:p>
        <w:p w14:paraId="62AD39BD" w14:textId="4846A529" w:rsidR="00B13C56" w:rsidRDefault="00F75FF2" w:rsidP="00B13C56">
          <w:pPr>
            <w:pStyle w:val="a"/>
            <w:ind w:firstLine="0"/>
            <w:jc w:val="center"/>
          </w:pPr>
          <w:bookmarkStart w:id="0" w:name="_GoBack"/>
          <w:r>
            <w:rPr>
              <w:color w:val="000000" w:themeColor="text1"/>
              <w:sz w:val="36"/>
              <w:szCs w:val="24"/>
            </w:rPr>
            <w:t>Аналитический о</w:t>
          </w:r>
          <w:r w:rsidR="00B13C56" w:rsidRPr="00C0598A">
            <w:rPr>
              <w:color w:val="000000" w:themeColor="text1"/>
              <w:sz w:val="36"/>
              <w:szCs w:val="24"/>
            </w:rPr>
            <w:t>тчет</w:t>
          </w:r>
          <w:bookmarkEnd w:id="0"/>
        </w:p>
        <w:p w14:paraId="2A8D0338" w14:textId="77777777" w:rsidR="00B13C56" w:rsidRDefault="00B13C56" w:rsidP="00B13C56">
          <w:pPr>
            <w:pStyle w:val="a"/>
          </w:pPr>
        </w:p>
        <w:p w14:paraId="7EC142F9" w14:textId="77777777" w:rsidR="00B13C56" w:rsidRDefault="00B13C56" w:rsidP="00B13C56">
          <w:pPr>
            <w:pStyle w:val="a"/>
          </w:pPr>
        </w:p>
        <w:p w14:paraId="57333D2C" w14:textId="77777777" w:rsidR="00B13C56" w:rsidRDefault="00B13C56" w:rsidP="00B13C56">
          <w:pPr>
            <w:pStyle w:val="a"/>
          </w:pPr>
        </w:p>
        <w:p w14:paraId="63BE9E6B" w14:textId="77777777" w:rsidR="00B13C56" w:rsidRDefault="00B13C56" w:rsidP="00B13C56">
          <w:pPr>
            <w:pStyle w:val="a"/>
          </w:pPr>
        </w:p>
        <w:p w14:paraId="22D05C1E" w14:textId="77777777" w:rsidR="00B13C56" w:rsidRDefault="00B13C56" w:rsidP="00B13C56">
          <w:pPr>
            <w:pStyle w:val="a"/>
          </w:pPr>
        </w:p>
        <w:p w14:paraId="0943FBAD" w14:textId="77777777" w:rsidR="00B13C56" w:rsidRPr="00B13C56" w:rsidRDefault="00B13C56" w:rsidP="00B13C56">
          <w:pPr>
            <w:pStyle w:val="a"/>
            <w:rPr>
              <w:color w:val="000000" w:themeColor="text1"/>
              <w:sz w:val="24"/>
              <w:szCs w:val="24"/>
            </w:rPr>
          </w:pPr>
        </w:p>
        <w:p w14:paraId="21CA6A07" w14:textId="77777777" w:rsidR="00B13C56" w:rsidRPr="00B13C56" w:rsidRDefault="00B13C56" w:rsidP="00B13C56">
          <w:pPr>
            <w:pStyle w:val="a"/>
            <w:rPr>
              <w:color w:val="000000" w:themeColor="text1"/>
              <w:sz w:val="24"/>
              <w:szCs w:val="24"/>
            </w:rPr>
          </w:pPr>
        </w:p>
        <w:p w14:paraId="6D52416B" w14:textId="77777777" w:rsidR="00B13C56" w:rsidRPr="00B13C56" w:rsidRDefault="00B13C56" w:rsidP="00B13C56">
          <w:pPr>
            <w:pStyle w:val="a"/>
            <w:rPr>
              <w:color w:val="000000" w:themeColor="text1"/>
              <w:sz w:val="24"/>
              <w:szCs w:val="24"/>
            </w:rPr>
          </w:pPr>
        </w:p>
        <w:p w14:paraId="4EAFC4D3" w14:textId="77777777" w:rsidR="00B13C56" w:rsidRPr="00B13C56" w:rsidRDefault="00B13C56" w:rsidP="00B13C56">
          <w:pPr>
            <w:pStyle w:val="a"/>
            <w:rPr>
              <w:color w:val="000000" w:themeColor="text1"/>
              <w:sz w:val="24"/>
              <w:szCs w:val="24"/>
            </w:rPr>
          </w:pPr>
        </w:p>
        <w:p w14:paraId="481EABD1" w14:textId="77777777" w:rsidR="00B13C56" w:rsidRPr="00B13C56" w:rsidRDefault="00B13C56" w:rsidP="00B13C56">
          <w:pPr>
            <w:pStyle w:val="a"/>
            <w:rPr>
              <w:color w:val="000000" w:themeColor="text1"/>
              <w:sz w:val="24"/>
              <w:szCs w:val="24"/>
            </w:rPr>
          </w:pPr>
        </w:p>
        <w:p w14:paraId="5BB2509C" w14:textId="77777777" w:rsidR="00B13C56" w:rsidRPr="00B13C56" w:rsidRDefault="00B13C56" w:rsidP="00B13C56">
          <w:pPr>
            <w:pStyle w:val="a"/>
            <w:rPr>
              <w:color w:val="000000" w:themeColor="text1"/>
              <w:sz w:val="24"/>
              <w:szCs w:val="24"/>
            </w:rPr>
          </w:pPr>
        </w:p>
        <w:p w14:paraId="62CB48C9" w14:textId="77777777" w:rsidR="00B13C56" w:rsidRPr="00B13C56" w:rsidRDefault="00B13C56" w:rsidP="00B13C56">
          <w:pPr>
            <w:pStyle w:val="a"/>
            <w:rPr>
              <w:color w:val="000000" w:themeColor="text1"/>
              <w:sz w:val="24"/>
              <w:szCs w:val="24"/>
            </w:rPr>
          </w:pPr>
        </w:p>
        <w:p w14:paraId="2BB4383D" w14:textId="77777777" w:rsidR="00B13C56" w:rsidRPr="00B13C56" w:rsidRDefault="00B13C56" w:rsidP="00B13C56">
          <w:pPr>
            <w:pStyle w:val="a"/>
            <w:rPr>
              <w:color w:val="000000" w:themeColor="text1"/>
              <w:sz w:val="24"/>
              <w:szCs w:val="24"/>
            </w:rPr>
          </w:pPr>
        </w:p>
        <w:p w14:paraId="3BDE413F" w14:textId="77777777" w:rsidR="00B13C56" w:rsidRPr="00B13C56" w:rsidRDefault="00B13C56" w:rsidP="00B13C56">
          <w:pPr>
            <w:pStyle w:val="a"/>
            <w:rPr>
              <w:color w:val="000000" w:themeColor="text1"/>
              <w:sz w:val="24"/>
              <w:szCs w:val="24"/>
            </w:rPr>
          </w:pPr>
        </w:p>
        <w:p w14:paraId="5879D37E" w14:textId="77777777" w:rsidR="00B13C56" w:rsidRDefault="00B13C56" w:rsidP="00B13C56">
          <w:pPr>
            <w:pStyle w:val="a"/>
            <w:rPr>
              <w:color w:val="000000" w:themeColor="text1"/>
              <w:sz w:val="24"/>
              <w:szCs w:val="24"/>
            </w:rPr>
          </w:pPr>
        </w:p>
        <w:p w14:paraId="49930E65" w14:textId="77777777" w:rsidR="00B13C56" w:rsidRDefault="00B13C56" w:rsidP="00B13C56">
          <w:pPr>
            <w:pStyle w:val="a"/>
            <w:rPr>
              <w:color w:val="000000" w:themeColor="text1"/>
              <w:sz w:val="24"/>
              <w:szCs w:val="24"/>
            </w:rPr>
          </w:pPr>
        </w:p>
        <w:p w14:paraId="299C27D0" w14:textId="77777777" w:rsidR="00B13C56" w:rsidRDefault="00B13C56" w:rsidP="00B13C56">
          <w:pPr>
            <w:pStyle w:val="a"/>
            <w:rPr>
              <w:color w:val="000000" w:themeColor="text1"/>
              <w:sz w:val="24"/>
              <w:szCs w:val="24"/>
            </w:rPr>
          </w:pPr>
        </w:p>
        <w:p w14:paraId="66B01859" w14:textId="77777777" w:rsidR="00B13C56" w:rsidRPr="00B13C56" w:rsidRDefault="00B13C56" w:rsidP="00B13C56">
          <w:pPr>
            <w:pStyle w:val="a"/>
            <w:rPr>
              <w:color w:val="000000" w:themeColor="text1"/>
              <w:sz w:val="24"/>
              <w:szCs w:val="24"/>
            </w:rPr>
          </w:pPr>
        </w:p>
        <w:p w14:paraId="54B37F29" w14:textId="77777777" w:rsidR="00B13C56" w:rsidRPr="00B13C56" w:rsidRDefault="00B13C56" w:rsidP="00B13C56">
          <w:pPr>
            <w:pStyle w:val="a"/>
            <w:rPr>
              <w:color w:val="000000" w:themeColor="text1"/>
              <w:sz w:val="24"/>
              <w:szCs w:val="24"/>
            </w:rPr>
          </w:pPr>
        </w:p>
        <w:p w14:paraId="05222170" w14:textId="77777777" w:rsidR="00B13C56" w:rsidRPr="00B13C56" w:rsidRDefault="00B13C56" w:rsidP="00B13C56">
          <w:pPr>
            <w:pStyle w:val="a"/>
            <w:rPr>
              <w:color w:val="000000" w:themeColor="text1"/>
              <w:sz w:val="24"/>
              <w:szCs w:val="24"/>
            </w:rPr>
          </w:pPr>
        </w:p>
        <w:p w14:paraId="09697B7D" w14:textId="77777777" w:rsidR="00B13C56" w:rsidRPr="00F75FF2" w:rsidRDefault="00B13C56" w:rsidP="00B13C56">
          <w:pPr>
            <w:pStyle w:val="a"/>
            <w:jc w:val="center"/>
            <w:rPr>
              <w:color w:val="000000" w:themeColor="text1"/>
            </w:rPr>
          </w:pPr>
          <w:r w:rsidRPr="00C0598A">
            <w:rPr>
              <w:color w:val="000000" w:themeColor="text1"/>
            </w:rPr>
            <w:t>г</w:t>
          </w:r>
          <w:r w:rsidRPr="00F75FF2">
            <w:rPr>
              <w:color w:val="000000" w:themeColor="text1"/>
            </w:rPr>
            <w:t xml:space="preserve">. </w:t>
          </w:r>
          <w:r w:rsidRPr="00C0598A">
            <w:rPr>
              <w:color w:val="000000" w:themeColor="text1"/>
            </w:rPr>
            <w:t>Москва</w:t>
          </w:r>
          <w:r w:rsidRPr="00F75FF2">
            <w:rPr>
              <w:color w:val="000000" w:themeColor="text1"/>
            </w:rPr>
            <w:t xml:space="preserve">, 2021 </w:t>
          </w:r>
          <w:r w:rsidRPr="00C0598A">
            <w:rPr>
              <w:color w:val="000000" w:themeColor="text1"/>
            </w:rPr>
            <w:t>г</w:t>
          </w:r>
          <w:r w:rsidRPr="00F75FF2">
            <w:rPr>
              <w:color w:val="000000" w:themeColor="text1"/>
            </w:rPr>
            <w:t>.</w:t>
          </w:r>
        </w:p>
      </w:sdtContent>
    </w:sdt>
    <w:p w14:paraId="670E0C7D" w14:textId="6300FBAF" w:rsidR="005B3C7A" w:rsidRPr="008F3BDF" w:rsidRDefault="001F49BD" w:rsidP="00B13C56">
      <w:pPr>
        <w:ind w:right="-1"/>
        <w:jc w:val="center"/>
        <w:rPr>
          <w:b/>
          <w:sz w:val="40"/>
          <w:szCs w:val="28"/>
        </w:rPr>
      </w:pPr>
      <w:r w:rsidRPr="008F3BDF">
        <w:rPr>
          <w:b/>
          <w:sz w:val="40"/>
          <w:szCs w:val="28"/>
        </w:rPr>
        <w:lastRenderedPageBreak/>
        <w:t>Справка о</w:t>
      </w:r>
      <w:r w:rsidR="002804D0" w:rsidRPr="008F3BDF">
        <w:rPr>
          <w:b/>
          <w:sz w:val="40"/>
          <w:szCs w:val="28"/>
        </w:rPr>
        <w:t xml:space="preserve"> </w:t>
      </w:r>
      <w:r w:rsidR="00D92560">
        <w:rPr>
          <w:b/>
          <w:sz w:val="40"/>
          <w:szCs w:val="28"/>
        </w:rPr>
        <w:t xml:space="preserve">ходе </w:t>
      </w:r>
      <w:r w:rsidR="002804D0" w:rsidRPr="008F3BDF">
        <w:rPr>
          <w:b/>
          <w:sz w:val="40"/>
          <w:szCs w:val="28"/>
        </w:rPr>
        <w:t>согласовани</w:t>
      </w:r>
      <w:r w:rsidR="00D92560">
        <w:rPr>
          <w:b/>
          <w:sz w:val="40"/>
          <w:szCs w:val="28"/>
        </w:rPr>
        <w:t>я</w:t>
      </w:r>
      <w:r w:rsidR="002804D0" w:rsidRPr="008F3BDF">
        <w:rPr>
          <w:b/>
          <w:sz w:val="40"/>
          <w:szCs w:val="28"/>
        </w:rPr>
        <w:t xml:space="preserve"> актуализированной</w:t>
      </w:r>
      <w:r w:rsidR="00B13C56" w:rsidRPr="008F3BDF">
        <w:rPr>
          <w:b/>
          <w:sz w:val="40"/>
          <w:szCs w:val="28"/>
        </w:rPr>
        <w:t xml:space="preserve"> </w:t>
      </w:r>
      <w:r w:rsidR="002804D0" w:rsidRPr="008F3BDF">
        <w:rPr>
          <w:b/>
          <w:sz w:val="40"/>
          <w:szCs w:val="28"/>
        </w:rPr>
        <w:t>«дорожной карты» «Аэронет» НТИ</w:t>
      </w:r>
    </w:p>
    <w:p w14:paraId="67A329B2" w14:textId="79838713" w:rsidR="003171DF" w:rsidRDefault="003171DF" w:rsidP="003D141D">
      <w:pPr>
        <w:spacing w:line="276" w:lineRule="auto"/>
        <w:jc w:val="center"/>
      </w:pPr>
    </w:p>
    <w:p w14:paraId="24C7AC6C" w14:textId="77777777" w:rsidR="00D92560" w:rsidRPr="0041004C" w:rsidRDefault="00D92560" w:rsidP="00D92560">
      <w:pPr>
        <w:spacing w:line="360" w:lineRule="auto"/>
        <w:rPr>
          <w:rFonts w:eastAsia="Calibri"/>
          <w:szCs w:val="28"/>
        </w:rPr>
      </w:pPr>
    </w:p>
    <w:p w14:paraId="1B2E7258" w14:textId="77777777" w:rsidR="00D92560" w:rsidRPr="0041004C" w:rsidRDefault="00D92560" w:rsidP="00D92560">
      <w:pPr>
        <w:spacing w:line="360" w:lineRule="auto"/>
        <w:ind w:firstLine="567"/>
        <w:rPr>
          <w:rFonts w:eastAsia="Calibri"/>
          <w:szCs w:val="28"/>
        </w:rPr>
      </w:pPr>
      <w:r w:rsidRPr="0041004C">
        <w:rPr>
          <w:rFonts w:eastAsia="Calibri"/>
          <w:szCs w:val="28"/>
        </w:rPr>
        <w:t>В соответствии с пунктом 5 правил разработки и реализации планов мероприятий («дорожных карт») Национальной технологической инициативы (далее – Правила), утвержденных постановлением Правительства Российской Федерации от 18 апреля 2016 г. № 317, Минпромторг России направил план мероприятий («дорожную карту») «Аэронет» Национальной технологической инициативы (далее – Дорожная карта) на согласование в Минобрнауки России, Минтранс России, Минэкономразвития России, Минфин России, Росреестр и Госкорпорацию «Роскосмос» письмом от 26 ноября 2020 г. № БО-91179/18.</w:t>
      </w:r>
    </w:p>
    <w:p w14:paraId="5FE55BE7" w14:textId="77777777" w:rsidR="00D92560" w:rsidRPr="0041004C" w:rsidRDefault="00D92560" w:rsidP="00D92560">
      <w:pPr>
        <w:spacing w:line="360" w:lineRule="auto"/>
        <w:ind w:firstLine="567"/>
        <w:rPr>
          <w:rFonts w:eastAsia="Calibri"/>
          <w:szCs w:val="28"/>
        </w:rPr>
      </w:pPr>
      <w:r w:rsidRPr="0041004C">
        <w:rPr>
          <w:rFonts w:eastAsia="Calibri"/>
          <w:szCs w:val="28"/>
        </w:rPr>
        <w:t>Дорожная карта согласована без замечаний Минобрнауки России (письмо  от 15 декабря 2020 г. № МН-14/2793-АМ), Минэкономразвития России (письмо от 9 декабря 2020 г. № 41666-ОТ/Д01м), Госкорпорацией «Роскосмос» (письмо от 10 декабря 2020 г. № АБ-13107), Минтрансом России (</w:t>
      </w:r>
      <w:r w:rsidRPr="00AE196F">
        <w:rPr>
          <w:rFonts w:eastAsia="Calibri"/>
          <w:szCs w:val="28"/>
        </w:rPr>
        <w:t>письмо от  апреля 2021 г.</w:t>
      </w:r>
      <w:r w:rsidRPr="0041004C">
        <w:rPr>
          <w:rFonts w:eastAsia="Calibri"/>
          <w:szCs w:val="28"/>
        </w:rPr>
        <w:t>)</w:t>
      </w:r>
    </w:p>
    <w:p w14:paraId="7D03A71F" w14:textId="77777777" w:rsidR="00D92560" w:rsidRPr="0041004C" w:rsidRDefault="00D92560" w:rsidP="00D92560">
      <w:pPr>
        <w:spacing w:line="360" w:lineRule="auto"/>
        <w:ind w:firstLine="567"/>
        <w:rPr>
          <w:rFonts w:eastAsia="Calibri"/>
          <w:szCs w:val="28"/>
        </w:rPr>
      </w:pPr>
      <w:r w:rsidRPr="0041004C">
        <w:rPr>
          <w:rFonts w:eastAsia="Calibri"/>
          <w:szCs w:val="28"/>
        </w:rPr>
        <w:t xml:space="preserve">Росреестр (письмо от 28 января 2021 г. № 19-0488-АР/21) согласовал Дорожную карту после внесения изменений в текст Дорожной карты и добавления Приложения </w:t>
      </w:r>
      <w:r>
        <w:rPr>
          <w:rFonts w:eastAsia="Calibri"/>
          <w:szCs w:val="28"/>
        </w:rPr>
        <w:t> 3</w:t>
      </w:r>
      <w:r w:rsidRPr="0041004C">
        <w:rPr>
          <w:rFonts w:eastAsia="Calibri"/>
          <w:szCs w:val="28"/>
        </w:rPr>
        <w:t xml:space="preserve"> «О роли Росреестра в реализации плана мероприятий («дорожной карты») Национальной технологической инициативы по направлению «Аэронет» в сегменте геоинформационных технологий и платформ «Геохаб»» (предложения по корректировке текста Дорожной карты направлены письмом от 28 января 2021 г. № БО-5592/18). </w:t>
      </w:r>
    </w:p>
    <w:p w14:paraId="102F5A48" w14:textId="77777777" w:rsidR="00D92560" w:rsidRPr="0041004C" w:rsidRDefault="00D92560" w:rsidP="00D92560">
      <w:pPr>
        <w:spacing w:line="360" w:lineRule="auto"/>
        <w:ind w:firstLine="567"/>
        <w:rPr>
          <w:rFonts w:eastAsia="Calibri"/>
          <w:szCs w:val="28"/>
        </w:rPr>
      </w:pPr>
      <w:r w:rsidRPr="0041004C">
        <w:rPr>
          <w:rFonts w:eastAsia="Calibri"/>
          <w:szCs w:val="28"/>
        </w:rPr>
        <w:t>Минфин России (письмо от 29 декабря 2020 г. № 19-02-05/115675) сообщ</w:t>
      </w:r>
      <w:r>
        <w:rPr>
          <w:rFonts w:eastAsia="Calibri"/>
          <w:szCs w:val="28"/>
        </w:rPr>
        <w:t>ил</w:t>
      </w:r>
      <w:r w:rsidRPr="0041004C">
        <w:rPr>
          <w:rFonts w:eastAsia="Calibri"/>
          <w:szCs w:val="28"/>
        </w:rPr>
        <w:t xml:space="preserve"> о необходимости подтверждения Минобрнауки России достаточности предложенных параметров финансирования мероприятий Дорожной карты и возможности ее финансового обеспечения в пределах бюджетных ассигнований федерального бюджета, предусмотренных Минобрнауки России в соответствии с пунктом 5 Правил. Письмом от 16 февраля 2021 г. № ММН-14/514-АМ Минобрнауки России направил свои предложения по указанному вопросу, по рассмотрении которых Минфин России (письмо от 02 марта 2021 г. № 19-02-</w:t>
      </w:r>
      <w:r w:rsidRPr="0041004C">
        <w:rPr>
          <w:rFonts w:eastAsia="Calibri"/>
          <w:szCs w:val="28"/>
        </w:rPr>
        <w:lastRenderedPageBreak/>
        <w:t>05/3/14276) сообщил о том, что замечания, изложенные в письме от 29 декабря 2020 г. № 19-02-05/115675 не были учтены.</w:t>
      </w:r>
    </w:p>
    <w:p w14:paraId="03A7461D" w14:textId="77777777" w:rsidR="00D92560" w:rsidRPr="0041004C" w:rsidRDefault="00D92560" w:rsidP="00D92560">
      <w:pPr>
        <w:spacing w:line="360" w:lineRule="auto"/>
        <w:ind w:firstLine="567"/>
        <w:rPr>
          <w:rFonts w:eastAsia="Calibri"/>
          <w:b/>
          <w:szCs w:val="28"/>
        </w:rPr>
      </w:pPr>
      <w:r w:rsidRPr="0041004C">
        <w:rPr>
          <w:rFonts w:eastAsia="Calibri"/>
          <w:b/>
          <w:szCs w:val="28"/>
        </w:rPr>
        <w:t xml:space="preserve">Минпромторг России </w:t>
      </w:r>
      <w:r>
        <w:rPr>
          <w:rFonts w:eastAsia="Calibri"/>
          <w:b/>
          <w:szCs w:val="28"/>
        </w:rPr>
        <w:t>счел</w:t>
      </w:r>
      <w:r w:rsidRPr="0041004C">
        <w:rPr>
          <w:rFonts w:eastAsia="Calibri"/>
          <w:b/>
          <w:szCs w:val="28"/>
        </w:rPr>
        <w:t xml:space="preserve"> возможным согласовать «дорожную карту» в представленной редакции с приложением позиции федеральных органов исполнительной власти (письмо Минпромторга России от 25.05.2021 г. № БО-42344/18 АНО «Платформа НТИ», АО «РВК»).</w:t>
      </w:r>
    </w:p>
    <w:p w14:paraId="433984BA" w14:textId="77777777" w:rsidR="00D92560" w:rsidRDefault="00D92560" w:rsidP="00D92560">
      <w:pPr>
        <w:spacing w:line="360" w:lineRule="auto"/>
        <w:ind w:firstLine="567"/>
        <w:rPr>
          <w:rFonts w:eastAsia="Calibri"/>
          <w:szCs w:val="28"/>
        </w:rPr>
      </w:pPr>
      <w:r w:rsidRPr="0041004C">
        <w:rPr>
          <w:rFonts w:eastAsia="Calibri"/>
          <w:szCs w:val="28"/>
        </w:rPr>
        <w:t xml:space="preserve">Поскольку при согласовании «дорожной карты» остался неурегулированный вопрос Минфина России, в соответствии с абз. 5 п. 26 Правил разработки и реализации планов мероприятий ("дорожных карт") Национальной технологической инициативы, утвержденные постановлением Правительства Российской Федерации от 18 апреля 2016 г. N 317 (в редакции 8 апреля 2021 г.), дальнейшие согласование и одобрение актуализированных разделов "дорожной карты", указанных в пункте 22 настоящих Правил, осуществляются в порядке, установленном пунктами </w:t>
      </w:r>
      <w:r>
        <w:rPr>
          <w:rFonts w:eastAsia="Calibri"/>
          <w:szCs w:val="28"/>
        </w:rPr>
        <w:t>8</w:t>
      </w:r>
      <w:r>
        <w:rPr>
          <w:rStyle w:val="FootnoteReference"/>
          <w:rFonts w:eastAsia="Calibri"/>
          <w:szCs w:val="28"/>
        </w:rPr>
        <w:footnoteReference w:id="1"/>
      </w:r>
      <w:r>
        <w:rPr>
          <w:rFonts w:eastAsia="Calibri"/>
          <w:szCs w:val="28"/>
        </w:rPr>
        <w:t xml:space="preserve">, </w:t>
      </w:r>
      <w:r w:rsidRPr="0041004C">
        <w:rPr>
          <w:rFonts w:eastAsia="Calibri"/>
          <w:szCs w:val="28"/>
        </w:rPr>
        <w:t>20</w:t>
      </w:r>
      <w:r w:rsidRPr="0041004C">
        <w:rPr>
          <w:rFonts w:eastAsia="Calibri"/>
          <w:szCs w:val="28"/>
          <w:vertAlign w:val="superscript"/>
        </w:rPr>
        <w:footnoteReference w:id="2"/>
      </w:r>
      <w:r w:rsidRPr="0041004C">
        <w:rPr>
          <w:rFonts w:eastAsia="Calibri"/>
          <w:szCs w:val="28"/>
        </w:rPr>
        <w:t xml:space="preserve"> и 21</w:t>
      </w:r>
      <w:r w:rsidRPr="0041004C">
        <w:rPr>
          <w:rFonts w:eastAsia="Calibri"/>
          <w:szCs w:val="28"/>
          <w:vertAlign w:val="superscript"/>
        </w:rPr>
        <w:footnoteReference w:id="3"/>
      </w:r>
      <w:r w:rsidRPr="0041004C">
        <w:rPr>
          <w:rFonts w:eastAsia="Calibri"/>
          <w:szCs w:val="28"/>
        </w:rPr>
        <w:t xml:space="preserve"> настоящих Правил.</w:t>
      </w:r>
    </w:p>
    <w:p w14:paraId="10A5A445" w14:textId="77777777" w:rsidR="00D92560" w:rsidRPr="0041004C" w:rsidRDefault="00D92560" w:rsidP="00D92560">
      <w:pPr>
        <w:spacing w:line="360" w:lineRule="auto"/>
        <w:ind w:firstLine="567"/>
        <w:rPr>
          <w:rFonts w:eastAsia="Calibri"/>
          <w:szCs w:val="28"/>
        </w:rPr>
      </w:pPr>
      <w:r>
        <w:rPr>
          <w:rFonts w:eastAsia="Calibri"/>
          <w:szCs w:val="28"/>
        </w:rPr>
        <w:t xml:space="preserve">На текущий момент актуализированная «дорожная карта» не рассмотрена </w:t>
      </w:r>
      <w:r w:rsidRPr="00762A63">
        <w:rPr>
          <w:rFonts w:eastAsia="Calibri"/>
          <w:szCs w:val="28"/>
        </w:rPr>
        <w:t>межведомственн</w:t>
      </w:r>
      <w:r>
        <w:rPr>
          <w:rFonts w:eastAsia="Calibri"/>
          <w:szCs w:val="28"/>
        </w:rPr>
        <w:t>ой</w:t>
      </w:r>
      <w:r w:rsidRPr="00762A63">
        <w:rPr>
          <w:rFonts w:eastAsia="Calibri"/>
          <w:szCs w:val="28"/>
        </w:rPr>
        <w:t xml:space="preserve"> рабоч</w:t>
      </w:r>
      <w:r>
        <w:rPr>
          <w:rFonts w:eastAsia="Calibri"/>
          <w:szCs w:val="28"/>
        </w:rPr>
        <w:t>ей</w:t>
      </w:r>
      <w:r w:rsidRPr="00762A63">
        <w:rPr>
          <w:rFonts w:eastAsia="Calibri"/>
          <w:szCs w:val="28"/>
        </w:rPr>
        <w:t xml:space="preserve"> групп</w:t>
      </w:r>
      <w:r>
        <w:rPr>
          <w:rFonts w:eastAsia="Calibri"/>
          <w:szCs w:val="28"/>
        </w:rPr>
        <w:t>ой</w:t>
      </w:r>
      <w:r w:rsidRPr="00762A63">
        <w:rPr>
          <w:rFonts w:eastAsia="Calibri"/>
          <w:szCs w:val="28"/>
        </w:rPr>
        <w:t xml:space="preserve"> </w:t>
      </w:r>
      <w:r>
        <w:rPr>
          <w:rFonts w:eastAsia="Calibri"/>
          <w:szCs w:val="28"/>
        </w:rPr>
        <w:t xml:space="preserve">по причине того, что </w:t>
      </w:r>
      <w:r w:rsidRPr="00762A63">
        <w:rPr>
          <w:rFonts w:eastAsia="Calibri"/>
          <w:szCs w:val="28"/>
        </w:rPr>
        <w:t xml:space="preserve">Платформа НТИ </w:t>
      </w:r>
      <w:r>
        <w:rPr>
          <w:rFonts w:eastAsia="Calibri"/>
          <w:szCs w:val="28"/>
        </w:rPr>
        <w:t xml:space="preserve">не выполнила положение пункта 8 настоящих Правил в части обязанности </w:t>
      </w:r>
      <w:r w:rsidRPr="00762A63">
        <w:rPr>
          <w:rFonts w:eastAsia="Calibri"/>
          <w:szCs w:val="28"/>
        </w:rPr>
        <w:t>направ</w:t>
      </w:r>
      <w:r>
        <w:rPr>
          <w:rFonts w:eastAsia="Calibri"/>
          <w:szCs w:val="28"/>
        </w:rPr>
        <w:t>ить</w:t>
      </w:r>
      <w:r w:rsidRPr="00762A63">
        <w:rPr>
          <w:rFonts w:eastAsia="Calibri"/>
          <w:szCs w:val="28"/>
        </w:rPr>
        <w:t xml:space="preserve"> полученные материалы в межведомственную рабочую группу</w:t>
      </w:r>
      <w:r>
        <w:rPr>
          <w:rFonts w:eastAsia="Calibri"/>
          <w:szCs w:val="28"/>
        </w:rPr>
        <w:t>.</w:t>
      </w:r>
    </w:p>
    <w:p w14:paraId="3D9BB698" w14:textId="77777777" w:rsidR="00D92560" w:rsidRDefault="00D92560" w:rsidP="00D92560">
      <w:pPr>
        <w:spacing w:after="160" w:line="259" w:lineRule="auto"/>
      </w:pPr>
      <w:r>
        <w:br w:type="page"/>
      </w:r>
    </w:p>
    <w:p w14:paraId="19B8C2A8" w14:textId="77777777" w:rsidR="00D92560" w:rsidRPr="000D4787" w:rsidRDefault="00D92560" w:rsidP="00D92560">
      <w:pPr>
        <w:adjustRightInd w:val="0"/>
        <w:jc w:val="center"/>
        <w:rPr>
          <w:b/>
          <w:sz w:val="24"/>
          <w:szCs w:val="24"/>
        </w:rPr>
      </w:pPr>
      <w:r w:rsidRPr="000D4787">
        <w:rPr>
          <w:b/>
          <w:sz w:val="24"/>
          <w:szCs w:val="24"/>
        </w:rPr>
        <w:lastRenderedPageBreak/>
        <w:t>Пояснения по неурегулированным разногласиям по проекту "дорожной карты",</w:t>
      </w:r>
    </w:p>
    <w:p w14:paraId="60106DE9" w14:textId="77777777" w:rsidR="00D92560" w:rsidRDefault="00D92560" w:rsidP="00D92560">
      <w:pPr>
        <w:adjustRightInd w:val="0"/>
        <w:rPr>
          <w:sz w:val="24"/>
          <w:szCs w:val="24"/>
        </w:rPr>
      </w:pPr>
      <w:r w:rsidRPr="00097DDA">
        <w:rPr>
          <w:sz w:val="24"/>
          <w:szCs w:val="24"/>
        </w:rPr>
        <w:t>изложенным в письме заместителя министра Минфина России И.А. Окладниковой от</w:t>
      </w:r>
      <w:r>
        <w:rPr>
          <w:sz w:val="24"/>
          <w:szCs w:val="24"/>
        </w:rPr>
        <w:t xml:space="preserve"> </w:t>
      </w:r>
      <w:r w:rsidRPr="00097DDA">
        <w:rPr>
          <w:sz w:val="24"/>
          <w:szCs w:val="24"/>
        </w:rPr>
        <w:t>29.12.2020 исх № 19-02-05/115675 в Министерство промышленности и торговли Российской</w:t>
      </w:r>
      <w:r>
        <w:rPr>
          <w:sz w:val="24"/>
          <w:szCs w:val="24"/>
        </w:rPr>
        <w:t xml:space="preserve"> </w:t>
      </w:r>
      <w:r w:rsidRPr="00097DDA">
        <w:rPr>
          <w:sz w:val="24"/>
          <w:szCs w:val="24"/>
        </w:rPr>
        <w:t>Федерации</w:t>
      </w:r>
    </w:p>
    <w:p w14:paraId="61F2C6DD" w14:textId="77777777" w:rsidR="000D4787" w:rsidRDefault="000D4787" w:rsidP="00D92560">
      <w:pPr>
        <w:adjustRightInd w:val="0"/>
        <w:rPr>
          <w:sz w:val="24"/>
          <w:szCs w:val="24"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3397"/>
        <w:gridCol w:w="6521"/>
      </w:tblGrid>
      <w:tr w:rsidR="00D92560" w14:paraId="1812657A" w14:textId="77777777" w:rsidTr="000D4787">
        <w:tc>
          <w:tcPr>
            <w:tcW w:w="3397" w:type="dxa"/>
          </w:tcPr>
          <w:p w14:paraId="71557D66" w14:textId="77777777" w:rsidR="00D92560" w:rsidRPr="00097DDA" w:rsidRDefault="00D92560" w:rsidP="00A9541C">
            <w:pPr>
              <w:adjustRightInd w:val="0"/>
              <w:jc w:val="center"/>
              <w:rPr>
                <w:sz w:val="24"/>
                <w:szCs w:val="24"/>
              </w:rPr>
            </w:pPr>
            <w:r w:rsidRPr="00097DDA">
              <w:rPr>
                <w:sz w:val="24"/>
                <w:szCs w:val="24"/>
              </w:rPr>
              <w:t>Замечания, предложения и</w:t>
            </w:r>
          </w:p>
          <w:p w14:paraId="77B8B89F" w14:textId="77777777" w:rsidR="00D92560" w:rsidRPr="00097DDA" w:rsidRDefault="00D92560" w:rsidP="00A9541C">
            <w:pPr>
              <w:adjustRightInd w:val="0"/>
              <w:jc w:val="center"/>
            </w:pPr>
            <w:r w:rsidRPr="00097DDA">
              <w:rPr>
                <w:sz w:val="24"/>
                <w:szCs w:val="24"/>
              </w:rPr>
              <w:t>разногласия Минфина России</w:t>
            </w:r>
          </w:p>
        </w:tc>
        <w:tc>
          <w:tcPr>
            <w:tcW w:w="6521" w:type="dxa"/>
          </w:tcPr>
          <w:p w14:paraId="048FB4A9" w14:textId="77777777" w:rsidR="00D92560" w:rsidRDefault="00D92560" w:rsidP="00A9541C">
            <w:pPr>
              <w:adjustRightInd w:val="0"/>
              <w:jc w:val="center"/>
            </w:pPr>
            <w:r>
              <w:rPr>
                <w:sz w:val="24"/>
                <w:szCs w:val="24"/>
                <w:lang w:val="en-US"/>
              </w:rPr>
              <w:t>Доработка проекта «дорожной карты»</w:t>
            </w:r>
          </w:p>
        </w:tc>
      </w:tr>
      <w:tr w:rsidR="00D92560" w14:paraId="4E5DFB5B" w14:textId="77777777" w:rsidTr="000D4787">
        <w:tc>
          <w:tcPr>
            <w:tcW w:w="3397" w:type="dxa"/>
          </w:tcPr>
          <w:p w14:paraId="14CBC7FF" w14:textId="77777777" w:rsidR="00D92560" w:rsidRPr="00097DDA" w:rsidRDefault="00D92560" w:rsidP="00A9541C">
            <w:pPr>
              <w:adjustRightInd w:val="0"/>
            </w:pPr>
            <w:r w:rsidRPr="00097DDA">
              <w:rPr>
                <w:sz w:val="24"/>
                <w:szCs w:val="24"/>
              </w:rPr>
              <w:t>сообщает о необходимости</w:t>
            </w:r>
            <w:r>
              <w:rPr>
                <w:sz w:val="24"/>
                <w:szCs w:val="24"/>
              </w:rPr>
              <w:t xml:space="preserve"> </w:t>
            </w:r>
            <w:r w:rsidRPr="00097DDA">
              <w:rPr>
                <w:sz w:val="24"/>
                <w:szCs w:val="24"/>
              </w:rPr>
              <w:t>подтверждения</w:t>
            </w:r>
            <w:r>
              <w:rPr>
                <w:sz w:val="24"/>
                <w:szCs w:val="24"/>
              </w:rPr>
              <w:t xml:space="preserve"> </w:t>
            </w:r>
            <w:r w:rsidRPr="00097DDA">
              <w:rPr>
                <w:sz w:val="24"/>
                <w:szCs w:val="24"/>
              </w:rPr>
              <w:t>Минобрнаукой России</w:t>
            </w:r>
            <w:r>
              <w:rPr>
                <w:sz w:val="24"/>
                <w:szCs w:val="24"/>
              </w:rPr>
              <w:t xml:space="preserve"> </w:t>
            </w:r>
            <w:r w:rsidRPr="00097DDA">
              <w:rPr>
                <w:sz w:val="24"/>
                <w:szCs w:val="24"/>
              </w:rPr>
              <w:t>достаточности предложенных</w:t>
            </w:r>
            <w:r>
              <w:rPr>
                <w:sz w:val="24"/>
                <w:szCs w:val="24"/>
              </w:rPr>
              <w:t xml:space="preserve"> </w:t>
            </w:r>
            <w:r w:rsidRPr="00097DDA">
              <w:rPr>
                <w:sz w:val="24"/>
                <w:szCs w:val="24"/>
              </w:rPr>
              <w:t>параметров финансирования</w:t>
            </w:r>
            <w:r>
              <w:rPr>
                <w:sz w:val="24"/>
                <w:szCs w:val="24"/>
              </w:rPr>
              <w:t xml:space="preserve"> </w:t>
            </w:r>
            <w:r w:rsidRPr="00097DDA">
              <w:rPr>
                <w:sz w:val="24"/>
                <w:szCs w:val="24"/>
              </w:rPr>
              <w:t>мероприятий указанного проекта</w:t>
            </w:r>
            <w:r>
              <w:rPr>
                <w:sz w:val="24"/>
                <w:szCs w:val="24"/>
              </w:rPr>
              <w:t xml:space="preserve"> </w:t>
            </w:r>
            <w:r w:rsidRPr="00097DDA">
              <w:rPr>
                <w:sz w:val="24"/>
                <w:szCs w:val="24"/>
              </w:rPr>
              <w:t>плана и возможности его</w:t>
            </w:r>
            <w:r>
              <w:rPr>
                <w:sz w:val="24"/>
                <w:szCs w:val="24"/>
              </w:rPr>
              <w:t xml:space="preserve"> </w:t>
            </w:r>
            <w:r w:rsidRPr="00097DDA">
              <w:rPr>
                <w:sz w:val="24"/>
                <w:szCs w:val="24"/>
              </w:rPr>
              <w:t>финансового обеспечения в</w:t>
            </w:r>
            <w:r>
              <w:rPr>
                <w:sz w:val="24"/>
                <w:szCs w:val="24"/>
              </w:rPr>
              <w:t xml:space="preserve"> </w:t>
            </w:r>
            <w:r w:rsidRPr="00097DDA">
              <w:rPr>
                <w:sz w:val="24"/>
                <w:szCs w:val="24"/>
              </w:rPr>
              <w:t>пределах бюджетных</w:t>
            </w:r>
            <w:r>
              <w:rPr>
                <w:sz w:val="24"/>
                <w:szCs w:val="24"/>
              </w:rPr>
              <w:t xml:space="preserve"> </w:t>
            </w:r>
            <w:r w:rsidRPr="00097DDA">
              <w:rPr>
                <w:sz w:val="24"/>
                <w:szCs w:val="24"/>
              </w:rPr>
              <w:t>ассигнований федерального</w:t>
            </w:r>
            <w:r>
              <w:rPr>
                <w:sz w:val="24"/>
                <w:szCs w:val="24"/>
              </w:rPr>
              <w:t xml:space="preserve"> </w:t>
            </w:r>
            <w:r w:rsidRPr="00097DDA">
              <w:rPr>
                <w:sz w:val="24"/>
                <w:szCs w:val="24"/>
              </w:rPr>
              <w:t>бюджета, предусмотренных</w:t>
            </w:r>
            <w:r>
              <w:rPr>
                <w:sz w:val="24"/>
                <w:szCs w:val="24"/>
              </w:rPr>
              <w:t xml:space="preserve"> </w:t>
            </w:r>
            <w:r w:rsidRPr="00097DDA">
              <w:rPr>
                <w:sz w:val="24"/>
                <w:szCs w:val="24"/>
              </w:rPr>
              <w:t>Минобрнауки России в</w:t>
            </w:r>
            <w:r>
              <w:rPr>
                <w:sz w:val="24"/>
                <w:szCs w:val="24"/>
              </w:rPr>
              <w:t xml:space="preserve"> </w:t>
            </w:r>
            <w:r w:rsidRPr="00097DDA">
              <w:rPr>
                <w:sz w:val="24"/>
                <w:szCs w:val="24"/>
              </w:rPr>
              <w:t>соответствии с пунктом 5 Правил</w:t>
            </w:r>
            <w:r>
              <w:rPr>
                <w:sz w:val="24"/>
                <w:szCs w:val="24"/>
              </w:rPr>
              <w:t xml:space="preserve"> </w:t>
            </w:r>
            <w:r w:rsidRPr="00097DDA">
              <w:rPr>
                <w:sz w:val="24"/>
                <w:szCs w:val="24"/>
              </w:rPr>
              <w:t>разработки и реализации планов</w:t>
            </w:r>
            <w:r>
              <w:rPr>
                <w:sz w:val="24"/>
                <w:szCs w:val="24"/>
              </w:rPr>
              <w:t xml:space="preserve"> </w:t>
            </w:r>
            <w:r w:rsidRPr="00097DDA">
              <w:rPr>
                <w:sz w:val="24"/>
                <w:szCs w:val="24"/>
              </w:rPr>
              <w:t>мероприятий («дорожных карт»)</w:t>
            </w:r>
            <w:r>
              <w:rPr>
                <w:sz w:val="24"/>
                <w:szCs w:val="24"/>
              </w:rPr>
              <w:t xml:space="preserve"> </w:t>
            </w:r>
            <w:r w:rsidRPr="00097DDA">
              <w:rPr>
                <w:sz w:val="24"/>
                <w:szCs w:val="24"/>
              </w:rPr>
              <w:t>Национальной технической</w:t>
            </w:r>
            <w:r>
              <w:rPr>
                <w:sz w:val="24"/>
                <w:szCs w:val="24"/>
              </w:rPr>
              <w:t xml:space="preserve"> </w:t>
            </w:r>
            <w:r w:rsidRPr="00097DDA">
              <w:rPr>
                <w:sz w:val="24"/>
                <w:szCs w:val="24"/>
              </w:rPr>
              <w:t>инициативы, утверждённых</w:t>
            </w:r>
            <w:r>
              <w:rPr>
                <w:sz w:val="24"/>
                <w:szCs w:val="24"/>
              </w:rPr>
              <w:t xml:space="preserve"> </w:t>
            </w:r>
            <w:r w:rsidRPr="00097DDA">
              <w:rPr>
                <w:sz w:val="24"/>
                <w:szCs w:val="24"/>
              </w:rPr>
              <w:t>постановлением Правительства</w:t>
            </w:r>
            <w:r>
              <w:rPr>
                <w:sz w:val="24"/>
                <w:szCs w:val="24"/>
              </w:rPr>
              <w:t xml:space="preserve"> </w:t>
            </w:r>
            <w:r w:rsidRPr="00097DDA">
              <w:rPr>
                <w:sz w:val="24"/>
                <w:szCs w:val="24"/>
              </w:rPr>
              <w:t>Российской Федерации от 18</w:t>
            </w:r>
            <w:r>
              <w:rPr>
                <w:sz w:val="24"/>
                <w:szCs w:val="24"/>
              </w:rPr>
              <w:t xml:space="preserve"> </w:t>
            </w:r>
            <w:r w:rsidRPr="00097DDA">
              <w:rPr>
                <w:sz w:val="24"/>
                <w:szCs w:val="24"/>
              </w:rPr>
              <w:t>апреля 2016 г. № 317 «О</w:t>
            </w:r>
            <w:r>
              <w:rPr>
                <w:sz w:val="24"/>
                <w:szCs w:val="24"/>
              </w:rPr>
              <w:t xml:space="preserve"> </w:t>
            </w:r>
            <w:r w:rsidRPr="00097DDA">
              <w:rPr>
                <w:sz w:val="24"/>
                <w:szCs w:val="24"/>
              </w:rPr>
              <w:t>реализации Национальной</w:t>
            </w:r>
            <w:r>
              <w:rPr>
                <w:sz w:val="24"/>
                <w:szCs w:val="24"/>
              </w:rPr>
              <w:t xml:space="preserve"> </w:t>
            </w:r>
            <w:r w:rsidRPr="00097DDA">
              <w:rPr>
                <w:sz w:val="24"/>
                <w:szCs w:val="24"/>
              </w:rPr>
              <w:t>технологической инициативы».</w:t>
            </w:r>
          </w:p>
        </w:tc>
        <w:tc>
          <w:tcPr>
            <w:tcW w:w="6521" w:type="dxa"/>
          </w:tcPr>
          <w:p w14:paraId="68C450D5" w14:textId="77777777" w:rsidR="00D92560" w:rsidRDefault="00D92560" w:rsidP="00A9541C">
            <w:pPr>
              <w:adjustRightInd w:val="0"/>
            </w:pPr>
            <w:r w:rsidRPr="00097DDA">
              <w:rPr>
                <w:sz w:val="24"/>
                <w:szCs w:val="24"/>
              </w:rPr>
              <w:t>Заместитель министра Минобрнауки России А.М.</w:t>
            </w:r>
            <w:r>
              <w:rPr>
                <w:sz w:val="24"/>
                <w:szCs w:val="24"/>
              </w:rPr>
              <w:t xml:space="preserve"> </w:t>
            </w:r>
            <w:r w:rsidRPr="00097DDA">
              <w:rPr>
                <w:sz w:val="24"/>
                <w:szCs w:val="24"/>
              </w:rPr>
              <w:t>Медведев письмом от 16.02.2021 г. исх.№ МН-14/514-АМ</w:t>
            </w:r>
            <w:r>
              <w:rPr>
                <w:sz w:val="24"/>
                <w:szCs w:val="24"/>
              </w:rPr>
              <w:t xml:space="preserve"> </w:t>
            </w:r>
            <w:r w:rsidRPr="00097DDA">
              <w:rPr>
                <w:sz w:val="24"/>
                <w:szCs w:val="24"/>
              </w:rPr>
              <w:t>направило предложения по указанному вопросу, а именно,</w:t>
            </w:r>
            <w:r>
              <w:rPr>
                <w:sz w:val="24"/>
                <w:szCs w:val="24"/>
              </w:rPr>
              <w:t xml:space="preserve"> </w:t>
            </w:r>
            <w:r w:rsidRPr="00097DDA">
              <w:rPr>
                <w:sz w:val="24"/>
                <w:szCs w:val="24"/>
              </w:rPr>
              <w:t>приведен объем бюджетных средств на реализацию</w:t>
            </w:r>
            <w:r>
              <w:rPr>
                <w:sz w:val="24"/>
                <w:szCs w:val="24"/>
              </w:rPr>
              <w:t xml:space="preserve"> </w:t>
            </w:r>
            <w:r w:rsidRPr="00097DDA">
              <w:rPr>
                <w:sz w:val="24"/>
                <w:szCs w:val="24"/>
              </w:rPr>
              <w:t>подпрограммы Российской Федерации «Национальная</w:t>
            </w:r>
            <w:r>
              <w:rPr>
                <w:sz w:val="24"/>
                <w:szCs w:val="24"/>
              </w:rPr>
              <w:t xml:space="preserve"> </w:t>
            </w:r>
            <w:r w:rsidRPr="00097DDA">
              <w:rPr>
                <w:sz w:val="24"/>
                <w:szCs w:val="24"/>
              </w:rPr>
              <w:t>технологическая инициатива» на 2021-2023 гг.;</w:t>
            </w:r>
            <w:r>
              <w:rPr>
                <w:sz w:val="24"/>
                <w:szCs w:val="24"/>
              </w:rPr>
              <w:t xml:space="preserve"> </w:t>
            </w:r>
            <w:r w:rsidRPr="00097DDA">
              <w:rPr>
                <w:sz w:val="24"/>
                <w:szCs w:val="24"/>
              </w:rPr>
              <w:t>предоставление поддержки проектам НТИ из средств</w:t>
            </w:r>
            <w:r>
              <w:rPr>
                <w:sz w:val="24"/>
                <w:szCs w:val="24"/>
              </w:rPr>
              <w:t xml:space="preserve"> </w:t>
            </w:r>
            <w:r w:rsidRPr="00097DDA">
              <w:rPr>
                <w:sz w:val="24"/>
                <w:szCs w:val="24"/>
              </w:rPr>
              <w:t>Федерального бюджета осуществляется в соответствии с</w:t>
            </w:r>
            <w:r>
              <w:rPr>
                <w:sz w:val="24"/>
                <w:szCs w:val="24"/>
              </w:rPr>
              <w:t xml:space="preserve"> </w:t>
            </w:r>
            <w:r w:rsidRPr="00097DDA">
              <w:rPr>
                <w:sz w:val="24"/>
                <w:szCs w:val="24"/>
              </w:rPr>
              <w:t>Положением</w:t>
            </w:r>
            <w:r>
              <w:rPr>
                <w:rStyle w:val="FootnoteReference"/>
                <w:sz w:val="24"/>
                <w:szCs w:val="24"/>
              </w:rPr>
              <w:footnoteReference w:id="4"/>
            </w:r>
            <w:r w:rsidRPr="00097DDA">
              <w:rPr>
                <w:sz w:val="24"/>
                <w:szCs w:val="24"/>
              </w:rPr>
              <w:t>, предусматривающим обязательность</w:t>
            </w:r>
            <w:r>
              <w:rPr>
                <w:sz w:val="24"/>
                <w:szCs w:val="24"/>
              </w:rPr>
              <w:t xml:space="preserve"> </w:t>
            </w:r>
            <w:r w:rsidRPr="00097DDA">
              <w:rPr>
                <w:sz w:val="24"/>
                <w:szCs w:val="24"/>
              </w:rPr>
              <w:t>проведения публичных (открытых) процедур отбора</w:t>
            </w:r>
            <w:r>
              <w:rPr>
                <w:sz w:val="24"/>
                <w:szCs w:val="24"/>
              </w:rPr>
              <w:t xml:space="preserve"> </w:t>
            </w:r>
            <w:r w:rsidRPr="00097DDA">
              <w:rPr>
                <w:sz w:val="24"/>
                <w:szCs w:val="24"/>
              </w:rPr>
              <w:t>проектов НТИ для принятия решений, при этом пп. «в»</w:t>
            </w:r>
            <w:r>
              <w:rPr>
                <w:sz w:val="24"/>
                <w:szCs w:val="24"/>
              </w:rPr>
              <w:t xml:space="preserve"> </w:t>
            </w:r>
            <w:r w:rsidRPr="00097DDA">
              <w:rPr>
                <w:sz w:val="24"/>
                <w:szCs w:val="24"/>
              </w:rPr>
              <w:t>п.12 Положения предусматривается обеспечение</w:t>
            </w:r>
            <w:r>
              <w:rPr>
                <w:sz w:val="24"/>
                <w:szCs w:val="24"/>
              </w:rPr>
              <w:t xml:space="preserve"> </w:t>
            </w:r>
            <w:r w:rsidRPr="00097DDA">
              <w:rPr>
                <w:sz w:val="24"/>
                <w:szCs w:val="24"/>
              </w:rPr>
              <w:t>Минобрнауки России подготовки заключения на проект</w:t>
            </w:r>
            <w:r>
              <w:rPr>
                <w:sz w:val="24"/>
                <w:szCs w:val="24"/>
              </w:rPr>
              <w:t xml:space="preserve"> </w:t>
            </w:r>
            <w:r w:rsidRPr="00097DDA">
              <w:rPr>
                <w:sz w:val="24"/>
                <w:szCs w:val="24"/>
              </w:rPr>
              <w:t>НТИ, в котором непосредственно указывается на</w:t>
            </w:r>
            <w:r>
              <w:rPr>
                <w:sz w:val="24"/>
                <w:szCs w:val="24"/>
              </w:rPr>
              <w:t xml:space="preserve"> </w:t>
            </w:r>
            <w:r w:rsidRPr="00097DDA">
              <w:rPr>
                <w:sz w:val="24"/>
                <w:szCs w:val="24"/>
              </w:rPr>
              <w:t>непревышение запрашиваемого объема финансового</w:t>
            </w:r>
            <w:r>
              <w:rPr>
                <w:sz w:val="24"/>
                <w:szCs w:val="24"/>
              </w:rPr>
              <w:t xml:space="preserve"> </w:t>
            </w:r>
            <w:r w:rsidRPr="00097DDA">
              <w:rPr>
                <w:sz w:val="24"/>
                <w:szCs w:val="24"/>
              </w:rPr>
              <w:t>обеспечения проекта НТИ с привлечением средств из</w:t>
            </w:r>
            <w:r>
              <w:rPr>
                <w:sz w:val="24"/>
                <w:szCs w:val="24"/>
              </w:rPr>
              <w:t xml:space="preserve"> </w:t>
            </w:r>
            <w:r w:rsidRPr="00097DDA">
              <w:rPr>
                <w:sz w:val="24"/>
                <w:szCs w:val="24"/>
              </w:rPr>
              <w:t>федерального бюджета над лимитами бюджетных</w:t>
            </w:r>
            <w:r>
              <w:rPr>
                <w:sz w:val="24"/>
                <w:szCs w:val="24"/>
              </w:rPr>
              <w:t xml:space="preserve"> </w:t>
            </w:r>
            <w:r w:rsidRPr="00097DDA">
              <w:rPr>
                <w:sz w:val="24"/>
                <w:szCs w:val="24"/>
              </w:rPr>
              <w:t>обязательств на реализацию проектов НТИ;</w:t>
            </w:r>
            <w:r>
              <w:rPr>
                <w:sz w:val="24"/>
                <w:szCs w:val="24"/>
              </w:rPr>
              <w:t xml:space="preserve"> </w:t>
            </w:r>
            <w:r w:rsidRPr="00097DDA">
              <w:rPr>
                <w:sz w:val="24"/>
                <w:szCs w:val="24"/>
              </w:rPr>
              <w:t>решение о поддержке проектов принимается с учетом</w:t>
            </w:r>
            <w:r>
              <w:rPr>
                <w:sz w:val="24"/>
                <w:szCs w:val="24"/>
              </w:rPr>
              <w:t xml:space="preserve"> </w:t>
            </w:r>
            <w:r w:rsidRPr="00097DDA">
              <w:rPr>
                <w:sz w:val="24"/>
                <w:szCs w:val="24"/>
              </w:rPr>
              <w:t>предельного объема бюджетных ассигнований,</w:t>
            </w:r>
            <w:r>
              <w:rPr>
                <w:sz w:val="24"/>
                <w:szCs w:val="24"/>
              </w:rPr>
              <w:t xml:space="preserve"> </w:t>
            </w:r>
            <w:r w:rsidRPr="00097DDA">
              <w:rPr>
                <w:sz w:val="24"/>
                <w:szCs w:val="24"/>
              </w:rPr>
              <w:t>предусмотренным федеральным законом о федеральном</w:t>
            </w:r>
            <w:r>
              <w:rPr>
                <w:sz w:val="24"/>
                <w:szCs w:val="24"/>
              </w:rPr>
              <w:t xml:space="preserve"> </w:t>
            </w:r>
            <w:r w:rsidRPr="00097DDA">
              <w:rPr>
                <w:sz w:val="24"/>
                <w:szCs w:val="24"/>
              </w:rPr>
              <w:t>бюджете на соответствующий финансовый год и плановый</w:t>
            </w:r>
            <w:r>
              <w:rPr>
                <w:sz w:val="24"/>
                <w:szCs w:val="24"/>
              </w:rPr>
              <w:t xml:space="preserve"> </w:t>
            </w:r>
            <w:r w:rsidRPr="00097DDA">
              <w:rPr>
                <w:sz w:val="24"/>
                <w:szCs w:val="24"/>
              </w:rPr>
              <w:t>период, и лимитов бюджетных обязательств,</w:t>
            </w:r>
            <w:r>
              <w:rPr>
                <w:sz w:val="24"/>
                <w:szCs w:val="24"/>
              </w:rPr>
              <w:t xml:space="preserve"> </w:t>
            </w:r>
            <w:r w:rsidRPr="00097DDA">
              <w:rPr>
                <w:sz w:val="24"/>
                <w:szCs w:val="24"/>
              </w:rPr>
              <w:t>утвержденных в установленном порядке Минобрнауки</w:t>
            </w:r>
            <w:r>
              <w:rPr>
                <w:sz w:val="24"/>
                <w:szCs w:val="24"/>
              </w:rPr>
              <w:t xml:space="preserve"> </w:t>
            </w:r>
            <w:r w:rsidRPr="00097DDA">
              <w:rPr>
                <w:sz w:val="24"/>
                <w:szCs w:val="24"/>
              </w:rPr>
              <w:t>России на реализацию проектов НТИ, в соответствии с п.15 Положения и п.7 Правил проведения отбора проектов</w:t>
            </w:r>
            <w:r>
              <w:rPr>
                <w:rStyle w:val="FootnoteReference"/>
                <w:sz w:val="24"/>
                <w:szCs w:val="24"/>
              </w:rPr>
              <w:footnoteReference w:id="5"/>
            </w:r>
            <w:r w:rsidRPr="00097DDA">
              <w:rPr>
                <w:sz w:val="24"/>
                <w:szCs w:val="24"/>
              </w:rPr>
              <w:t>;</w:t>
            </w:r>
            <w:r>
              <w:rPr>
                <w:sz w:val="24"/>
                <w:szCs w:val="24"/>
              </w:rPr>
              <w:t xml:space="preserve"> </w:t>
            </w:r>
            <w:r w:rsidRPr="00097DDA">
              <w:rPr>
                <w:sz w:val="24"/>
                <w:szCs w:val="24"/>
              </w:rPr>
              <w:t>сообщается, сто при недостаточности бюджетных</w:t>
            </w:r>
            <w:r>
              <w:rPr>
                <w:sz w:val="24"/>
                <w:szCs w:val="24"/>
              </w:rPr>
              <w:t xml:space="preserve"> </w:t>
            </w:r>
            <w:r w:rsidRPr="00097DDA">
              <w:rPr>
                <w:sz w:val="24"/>
                <w:szCs w:val="24"/>
              </w:rPr>
              <w:t>ассигнований федерального бюджета для целей</w:t>
            </w:r>
            <w:r>
              <w:rPr>
                <w:sz w:val="24"/>
                <w:szCs w:val="24"/>
              </w:rPr>
              <w:t xml:space="preserve"> </w:t>
            </w:r>
            <w:r w:rsidRPr="00097DDA">
              <w:rPr>
                <w:sz w:val="24"/>
                <w:szCs w:val="24"/>
              </w:rPr>
              <w:t>реализации Дорожной карты в рамках Постановления №317 в период с 2021 по 2023 гг., необходимые бюджетные</w:t>
            </w:r>
            <w:r>
              <w:rPr>
                <w:sz w:val="24"/>
                <w:szCs w:val="24"/>
              </w:rPr>
              <w:t xml:space="preserve"> </w:t>
            </w:r>
            <w:r w:rsidRPr="00097DDA">
              <w:rPr>
                <w:sz w:val="24"/>
                <w:szCs w:val="24"/>
              </w:rPr>
              <w:t>средства могут быть определены в случае одобрения</w:t>
            </w:r>
            <w:r>
              <w:rPr>
                <w:sz w:val="24"/>
                <w:szCs w:val="24"/>
              </w:rPr>
              <w:t xml:space="preserve"> </w:t>
            </w:r>
            <w:r w:rsidRPr="00097DDA">
              <w:rPr>
                <w:sz w:val="24"/>
                <w:szCs w:val="24"/>
              </w:rPr>
              <w:t>проектов Дорожной карты Межведомственной рабочей</w:t>
            </w:r>
            <w:r>
              <w:rPr>
                <w:sz w:val="24"/>
                <w:szCs w:val="24"/>
              </w:rPr>
              <w:t xml:space="preserve"> </w:t>
            </w:r>
            <w:r w:rsidRPr="00097DDA">
              <w:rPr>
                <w:sz w:val="24"/>
                <w:szCs w:val="24"/>
              </w:rPr>
              <w:t>группой</w:t>
            </w:r>
            <w:r>
              <w:rPr>
                <w:rStyle w:val="FootnoteReference"/>
                <w:sz w:val="24"/>
                <w:szCs w:val="24"/>
              </w:rPr>
              <w:footnoteReference w:id="6"/>
            </w:r>
            <w:r w:rsidRPr="00097DDA">
              <w:rPr>
                <w:sz w:val="24"/>
                <w:szCs w:val="24"/>
              </w:rPr>
              <w:t>.</w:t>
            </w:r>
          </w:p>
        </w:tc>
      </w:tr>
    </w:tbl>
    <w:p w14:paraId="0680B531" w14:textId="77777777" w:rsidR="00D92560" w:rsidRPr="000D4787" w:rsidRDefault="00D92560" w:rsidP="00D92560">
      <w:pPr>
        <w:adjustRightInd w:val="0"/>
        <w:rPr>
          <w:sz w:val="20"/>
          <w:szCs w:val="20"/>
        </w:rPr>
      </w:pPr>
      <w:r w:rsidRPr="00097DDA">
        <w:rPr>
          <w:sz w:val="24"/>
          <w:szCs w:val="24"/>
        </w:rPr>
        <w:t>По рассмотрении предложения письма Минобрнауки России от 16.02.2021 г. исх.№ МН-14/514-АМ, Минфин России повторно рассмотрел проект Дорожной карты и сообщил о что замечания,</w:t>
      </w:r>
      <w:r>
        <w:rPr>
          <w:sz w:val="24"/>
          <w:szCs w:val="24"/>
        </w:rPr>
        <w:t xml:space="preserve"> </w:t>
      </w:r>
      <w:r w:rsidRPr="00097DDA">
        <w:rPr>
          <w:sz w:val="24"/>
          <w:szCs w:val="24"/>
        </w:rPr>
        <w:t>изложенные в письме от 29 декабря 2020 г. № 19-02-05/115675 в части подтверждения</w:t>
      </w:r>
      <w:r>
        <w:rPr>
          <w:sz w:val="24"/>
          <w:szCs w:val="24"/>
        </w:rPr>
        <w:t xml:space="preserve"> </w:t>
      </w:r>
      <w:r w:rsidRPr="00097DDA">
        <w:rPr>
          <w:sz w:val="24"/>
          <w:szCs w:val="24"/>
        </w:rPr>
        <w:t>Минобрнауки России достаточности предложенных параметров финансирования мероприятий</w:t>
      </w:r>
      <w:r>
        <w:rPr>
          <w:sz w:val="24"/>
          <w:szCs w:val="24"/>
        </w:rPr>
        <w:t xml:space="preserve"> </w:t>
      </w:r>
      <w:r w:rsidRPr="00097DDA">
        <w:rPr>
          <w:sz w:val="24"/>
          <w:szCs w:val="24"/>
        </w:rPr>
        <w:t>указанного проекта плана и возможности его финансового обеспечения в пределах бюджетных</w:t>
      </w:r>
      <w:r>
        <w:rPr>
          <w:sz w:val="24"/>
          <w:szCs w:val="24"/>
        </w:rPr>
        <w:t xml:space="preserve"> </w:t>
      </w:r>
      <w:r w:rsidRPr="00097DDA">
        <w:rPr>
          <w:sz w:val="24"/>
          <w:szCs w:val="24"/>
        </w:rPr>
        <w:t>ассигнований федерального бюджета, предусмотренных Минобрнауки России в соответствии с</w:t>
      </w:r>
      <w:r>
        <w:rPr>
          <w:sz w:val="24"/>
          <w:szCs w:val="24"/>
        </w:rPr>
        <w:t xml:space="preserve"> </w:t>
      </w:r>
      <w:r w:rsidRPr="00097DDA">
        <w:rPr>
          <w:sz w:val="24"/>
          <w:szCs w:val="24"/>
        </w:rPr>
        <w:t>пунктом 5 Правил разработки и реализации планов мероприятий («дорожных карт»)</w:t>
      </w:r>
      <w:r>
        <w:rPr>
          <w:sz w:val="24"/>
          <w:szCs w:val="24"/>
        </w:rPr>
        <w:t xml:space="preserve"> </w:t>
      </w:r>
      <w:r w:rsidRPr="00097DDA">
        <w:rPr>
          <w:sz w:val="24"/>
          <w:szCs w:val="24"/>
        </w:rPr>
        <w:t>Национальной технической инициативы, утверждённых постановлением Правительства</w:t>
      </w:r>
      <w:r>
        <w:rPr>
          <w:sz w:val="24"/>
          <w:szCs w:val="24"/>
        </w:rPr>
        <w:t xml:space="preserve"> </w:t>
      </w:r>
      <w:r w:rsidRPr="00097DDA">
        <w:rPr>
          <w:sz w:val="24"/>
          <w:szCs w:val="24"/>
        </w:rPr>
        <w:t>Российской Федерации от 18 апреля 2016 г. № 317 «О реализации Национальной</w:t>
      </w:r>
      <w:r>
        <w:rPr>
          <w:sz w:val="24"/>
          <w:szCs w:val="24"/>
        </w:rPr>
        <w:t xml:space="preserve"> </w:t>
      </w:r>
      <w:r w:rsidRPr="000D4787">
        <w:rPr>
          <w:sz w:val="20"/>
          <w:szCs w:val="20"/>
        </w:rPr>
        <w:t>технологической инициативы» не были учтены (письмо от 02.03.2021 г. исх. № 19-02-05/3/14276).</w:t>
      </w:r>
    </w:p>
    <w:p w14:paraId="7A478509" w14:textId="77777777" w:rsidR="00D92560" w:rsidRDefault="00D92560" w:rsidP="003D141D">
      <w:pPr>
        <w:spacing w:line="276" w:lineRule="auto"/>
        <w:jc w:val="center"/>
      </w:pPr>
    </w:p>
    <w:sectPr w:rsidR="00D92560" w:rsidSect="000D4787">
      <w:type w:val="continuous"/>
      <w:pgSz w:w="11906" w:h="16838"/>
      <w:pgMar w:top="709" w:right="850" w:bottom="567" w:left="1134" w:header="708" w:footer="4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DFB899" w14:textId="77777777" w:rsidR="00CA3E08" w:rsidRDefault="00CA3E08" w:rsidP="003564B3">
      <w:r>
        <w:separator/>
      </w:r>
    </w:p>
  </w:endnote>
  <w:endnote w:type="continuationSeparator" w:id="0">
    <w:p w14:paraId="49FD2EB2" w14:textId="77777777" w:rsidR="00CA3E08" w:rsidRDefault="00CA3E08" w:rsidP="003564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12CA8E" w14:textId="77777777" w:rsidR="00CA3E08" w:rsidRDefault="00CA3E08" w:rsidP="003564B3">
      <w:r>
        <w:separator/>
      </w:r>
    </w:p>
  </w:footnote>
  <w:footnote w:type="continuationSeparator" w:id="0">
    <w:p w14:paraId="46A661DA" w14:textId="77777777" w:rsidR="00CA3E08" w:rsidRDefault="00CA3E08" w:rsidP="003564B3">
      <w:r>
        <w:continuationSeparator/>
      </w:r>
    </w:p>
  </w:footnote>
  <w:footnote w:id="1">
    <w:p w14:paraId="12B3D831" w14:textId="64F9AD9F" w:rsidR="00D92560" w:rsidRPr="00D92560" w:rsidRDefault="00D92560" w:rsidP="00D92560">
      <w:pPr>
        <w:pStyle w:val="FootnoteText"/>
        <w:rPr>
          <w:rFonts w:ascii="Times New Roman" w:hAnsi="Times New Roman" w:cs="Times New Roman"/>
        </w:rPr>
      </w:pPr>
      <w:r w:rsidRPr="00D92560">
        <w:rPr>
          <w:rStyle w:val="FootnoteReference"/>
          <w:rFonts w:ascii="Times New Roman" w:hAnsi="Times New Roman" w:cs="Times New Roman"/>
        </w:rPr>
        <w:footnoteRef/>
      </w:r>
      <w:r w:rsidRPr="00D92560">
        <w:rPr>
          <w:rFonts w:ascii="Times New Roman" w:hAnsi="Times New Roman" w:cs="Times New Roman"/>
        </w:rPr>
        <w:t xml:space="preserve"> 8. При наличии неурегулированных разногласий после доработки проекта "дорожной карты" ответственный федеральный орган исполнительной власти направляет подготовленный совместно с рабочей группой и подписанный руководителем и (или) соруководителем рабочей группы, не являющимся представителем ответственного федерального органа исполнительной власти, проект "дорожной карты" с приложением таблицы, содержащей неурегулированные разногласия, в Платформу НТИ. Платформа НТИ направляет полученные материалы в рабочую группу и межведомственную рабочую группу.</w:t>
      </w:r>
    </w:p>
  </w:footnote>
  <w:footnote w:id="2">
    <w:p w14:paraId="18799CE8" w14:textId="77777777" w:rsidR="00D92560" w:rsidRPr="00D92560" w:rsidRDefault="00D92560" w:rsidP="00D92560">
      <w:pPr>
        <w:pStyle w:val="FootnoteText"/>
        <w:rPr>
          <w:rFonts w:ascii="Times New Roman" w:hAnsi="Times New Roman" w:cs="Times New Roman"/>
        </w:rPr>
      </w:pPr>
      <w:r w:rsidRPr="00D92560">
        <w:rPr>
          <w:rStyle w:val="FootnoteReference"/>
          <w:rFonts w:ascii="Times New Roman" w:hAnsi="Times New Roman" w:cs="Times New Roman"/>
        </w:rPr>
        <w:footnoteRef/>
      </w:r>
      <w:r w:rsidRPr="00D92560">
        <w:rPr>
          <w:rFonts w:ascii="Times New Roman" w:hAnsi="Times New Roman" w:cs="Times New Roman"/>
        </w:rPr>
        <w:t xml:space="preserve"> 20. Поступившие в межведомственную рабочую группу актуализированные разделы "дорожной карты" рассматриваются на очередном заседании с целью вынесения решения об одобрении или о направлении актуализированных разделов "дорожных карт" на экспертизу в экспертные организации в случае отсутствия согласования актуализированных разделов "дорожных карт" федеральными органами исполнительной власти и о необходимости их доработки.</w:t>
      </w:r>
    </w:p>
  </w:footnote>
  <w:footnote w:id="3">
    <w:p w14:paraId="0C85203D" w14:textId="77777777" w:rsidR="00D92560" w:rsidRPr="00D92560" w:rsidRDefault="00D92560" w:rsidP="00D92560">
      <w:pPr>
        <w:pStyle w:val="FootnoteText"/>
        <w:rPr>
          <w:rFonts w:ascii="Times New Roman" w:hAnsi="Times New Roman" w:cs="Times New Roman"/>
        </w:rPr>
      </w:pPr>
      <w:r w:rsidRPr="00D92560">
        <w:rPr>
          <w:rStyle w:val="FootnoteReference"/>
          <w:rFonts w:ascii="Times New Roman" w:hAnsi="Times New Roman" w:cs="Times New Roman"/>
        </w:rPr>
        <w:footnoteRef/>
      </w:r>
      <w:r w:rsidRPr="00D92560">
        <w:rPr>
          <w:rFonts w:ascii="Times New Roman" w:hAnsi="Times New Roman" w:cs="Times New Roman"/>
        </w:rPr>
        <w:t xml:space="preserve"> 21. Экспертные организации проводят экспертизу актуализированных разделов "дорожной карты", заключений ответственного федерального органа исполнительной власти и направляют в межведомственную рабочую группу в срок, не превышающий 10 рабочих дней со дня их поступления, подготовленное экспертное заключение и представленные для проведения экспертизы материалы.</w:t>
      </w:r>
    </w:p>
    <w:p w14:paraId="6A328139" w14:textId="77777777" w:rsidR="00D92560" w:rsidRPr="00D92560" w:rsidRDefault="00D92560" w:rsidP="00D92560">
      <w:pPr>
        <w:pStyle w:val="FootnoteText"/>
        <w:rPr>
          <w:rFonts w:ascii="Times New Roman" w:hAnsi="Times New Roman" w:cs="Times New Roman"/>
        </w:rPr>
      </w:pPr>
      <w:r w:rsidRPr="00D92560">
        <w:rPr>
          <w:rFonts w:ascii="Times New Roman" w:hAnsi="Times New Roman" w:cs="Times New Roman"/>
        </w:rPr>
        <w:t>По результатам рассмотрения экспертного заключения на очередном заседании межведомственной рабочей группы в срок, не превышающий 7 рабочих дней, межведомственная рабочая группа принимает решение об одобрении или об отказе в одобрении актуализированных разделов "дорожной карты".</w:t>
      </w:r>
    </w:p>
    <w:p w14:paraId="2E946956" w14:textId="77777777" w:rsidR="00D92560" w:rsidRPr="00D92560" w:rsidRDefault="00D92560" w:rsidP="00D92560">
      <w:pPr>
        <w:pStyle w:val="FootnoteText"/>
        <w:rPr>
          <w:rFonts w:ascii="Times New Roman" w:hAnsi="Times New Roman" w:cs="Times New Roman"/>
        </w:rPr>
      </w:pPr>
      <w:r w:rsidRPr="00D92560">
        <w:rPr>
          <w:rFonts w:ascii="Times New Roman" w:hAnsi="Times New Roman" w:cs="Times New Roman"/>
        </w:rPr>
        <w:t>Решение об одобрении или об отказе в одобрении актуализированных разделов "дорожной карты" направляется межведомственной рабочей группой в Платформу НТИ.</w:t>
      </w:r>
    </w:p>
  </w:footnote>
  <w:footnote w:id="4">
    <w:p w14:paraId="0E99C4DD" w14:textId="77777777" w:rsidR="00D92560" w:rsidRPr="000D4787" w:rsidRDefault="00D92560" w:rsidP="00D92560">
      <w:pPr>
        <w:adjustRightInd w:val="0"/>
        <w:rPr>
          <w:rFonts w:cs="Times New Roman"/>
          <w:sz w:val="20"/>
          <w:szCs w:val="20"/>
        </w:rPr>
      </w:pPr>
      <w:r w:rsidRPr="000D4787">
        <w:rPr>
          <w:rStyle w:val="FootnoteReference"/>
          <w:rFonts w:cs="Times New Roman"/>
        </w:rPr>
        <w:footnoteRef/>
      </w:r>
      <w:r w:rsidRPr="000D4787">
        <w:rPr>
          <w:rFonts w:cs="Times New Roman"/>
        </w:rPr>
        <w:t xml:space="preserve"> </w:t>
      </w:r>
      <w:r w:rsidRPr="000D4787">
        <w:rPr>
          <w:rFonts w:cs="Times New Roman"/>
          <w:sz w:val="20"/>
          <w:szCs w:val="20"/>
        </w:rPr>
        <w:t>Здесь и далее «Положение», «Постановление № 317» - Положение о разработке, отборе, реализации и</w:t>
      </w:r>
    </w:p>
    <w:p w14:paraId="3C2203BD" w14:textId="77777777" w:rsidR="00D92560" w:rsidRPr="000D4787" w:rsidRDefault="00D92560" w:rsidP="00D92560">
      <w:pPr>
        <w:adjustRightInd w:val="0"/>
        <w:rPr>
          <w:rFonts w:cs="Times New Roman"/>
          <w:sz w:val="20"/>
          <w:szCs w:val="20"/>
        </w:rPr>
      </w:pPr>
      <w:r w:rsidRPr="000D4787">
        <w:rPr>
          <w:rFonts w:cs="Times New Roman"/>
          <w:sz w:val="20"/>
          <w:szCs w:val="20"/>
        </w:rPr>
        <w:t>мониторинге проектов в целях реализации планов мероприятий ("дорожных карт") Национальной</w:t>
      </w:r>
    </w:p>
    <w:p w14:paraId="7FF63F00" w14:textId="77777777" w:rsidR="00D92560" w:rsidRPr="000D4787" w:rsidRDefault="00D92560" w:rsidP="00D92560">
      <w:pPr>
        <w:pStyle w:val="FootnoteText"/>
        <w:rPr>
          <w:rFonts w:ascii="Times New Roman" w:hAnsi="Times New Roman" w:cs="Times New Roman"/>
        </w:rPr>
      </w:pPr>
      <w:r w:rsidRPr="000D4787">
        <w:rPr>
          <w:rFonts w:ascii="Times New Roman" w:hAnsi="Times New Roman" w:cs="Times New Roman"/>
        </w:rPr>
        <w:t xml:space="preserve">технологической инициативы, утв. постановлением Правительства РФ от 18 апреля 2016 г. </w:t>
      </w:r>
      <w:r w:rsidRPr="000D4787">
        <w:rPr>
          <w:rFonts w:ascii="Times New Roman" w:hAnsi="Times New Roman" w:cs="Times New Roman"/>
          <w:lang w:val="en-US"/>
        </w:rPr>
        <w:t>N</w:t>
      </w:r>
      <w:r w:rsidRPr="000D4787">
        <w:rPr>
          <w:rFonts w:ascii="Times New Roman" w:hAnsi="Times New Roman" w:cs="Times New Roman"/>
        </w:rPr>
        <w:t xml:space="preserve"> 317</w:t>
      </w:r>
    </w:p>
  </w:footnote>
  <w:footnote w:id="5">
    <w:p w14:paraId="24DBDEEF" w14:textId="77777777" w:rsidR="00D92560" w:rsidRPr="000D4787" w:rsidRDefault="00D92560" w:rsidP="00D92560">
      <w:pPr>
        <w:pStyle w:val="FootnoteText"/>
        <w:rPr>
          <w:rFonts w:ascii="Times New Roman" w:hAnsi="Times New Roman" w:cs="Times New Roman"/>
        </w:rPr>
      </w:pPr>
      <w:r w:rsidRPr="000D4787">
        <w:rPr>
          <w:rStyle w:val="FootnoteReference"/>
          <w:rFonts w:ascii="Times New Roman" w:hAnsi="Times New Roman" w:cs="Times New Roman"/>
        </w:rPr>
        <w:footnoteRef/>
      </w:r>
      <w:r w:rsidRPr="000D4787">
        <w:rPr>
          <w:rFonts w:ascii="Times New Roman" w:hAnsi="Times New Roman" w:cs="Times New Roman"/>
        </w:rPr>
        <w:t xml:space="preserve"> Приложение № 2 к Положению</w:t>
      </w:r>
    </w:p>
  </w:footnote>
  <w:footnote w:id="6">
    <w:p w14:paraId="22043B16" w14:textId="77777777" w:rsidR="00D92560" w:rsidRPr="000D4787" w:rsidRDefault="00D92560" w:rsidP="00D92560">
      <w:pPr>
        <w:adjustRightInd w:val="0"/>
        <w:rPr>
          <w:rFonts w:cs="Times New Roman"/>
          <w:sz w:val="20"/>
          <w:szCs w:val="20"/>
        </w:rPr>
      </w:pPr>
      <w:r w:rsidRPr="000D4787">
        <w:rPr>
          <w:rStyle w:val="FootnoteReference"/>
          <w:rFonts w:cs="Times New Roman"/>
        </w:rPr>
        <w:footnoteRef/>
      </w:r>
      <w:r w:rsidRPr="000D4787">
        <w:rPr>
          <w:rFonts w:cs="Times New Roman"/>
        </w:rPr>
        <w:t xml:space="preserve"> </w:t>
      </w:r>
      <w:r w:rsidRPr="000D4787">
        <w:rPr>
          <w:rFonts w:cs="Times New Roman"/>
          <w:sz w:val="20"/>
          <w:szCs w:val="20"/>
        </w:rPr>
        <w:t>межведомственная рабочая группа по разработке и реализации Национальной технологической инициативы при</w:t>
      </w:r>
    </w:p>
    <w:p w14:paraId="175B80AE" w14:textId="77777777" w:rsidR="00D92560" w:rsidRDefault="00D92560" w:rsidP="00D92560">
      <w:pPr>
        <w:pStyle w:val="FootnoteText"/>
      </w:pPr>
      <w:r w:rsidRPr="000D4787">
        <w:rPr>
          <w:rFonts w:ascii="Times New Roman" w:hAnsi="Times New Roman" w:cs="Times New Roman"/>
        </w:rPr>
        <w:t xml:space="preserve">Правительственной комиссии по модернизации экономики и инновационному развитию </w:t>
      </w:r>
      <w:r w:rsidRPr="000D4787">
        <w:rPr>
          <w:rFonts w:ascii="Times New Roman" w:hAnsi="Times New Roman" w:cs="Times New Roman"/>
          <w:lang w:val="en-US"/>
        </w:rPr>
        <w:t>России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167371"/>
    <w:multiLevelType w:val="hybridMultilevel"/>
    <w:tmpl w:val="0BC26A0E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 w15:restartNumberingAfterBreak="0">
    <w:nsid w:val="0F852313"/>
    <w:multiLevelType w:val="hybridMultilevel"/>
    <w:tmpl w:val="0D12E528"/>
    <w:lvl w:ilvl="0" w:tplc="04190001">
      <w:start w:val="1"/>
      <w:numFmt w:val="bullet"/>
      <w:lvlText w:val=""/>
      <w:lvlJc w:val="left"/>
      <w:pPr>
        <w:ind w:left="1419" w:hanging="71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8BF1C10"/>
    <w:multiLevelType w:val="hybridMultilevel"/>
    <w:tmpl w:val="E070B9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0232D6"/>
    <w:multiLevelType w:val="hybridMultilevel"/>
    <w:tmpl w:val="4EF6927C"/>
    <w:lvl w:ilvl="0" w:tplc="25E62DB0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433F7CCF"/>
    <w:multiLevelType w:val="hybridMultilevel"/>
    <w:tmpl w:val="DDE06E1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464F1832"/>
    <w:multiLevelType w:val="hybridMultilevel"/>
    <w:tmpl w:val="E830FF0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4F221FB3"/>
    <w:multiLevelType w:val="hybridMultilevel"/>
    <w:tmpl w:val="3DE629D4"/>
    <w:lvl w:ilvl="0" w:tplc="CA7817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D7D4EBB"/>
    <w:multiLevelType w:val="hybridMultilevel"/>
    <w:tmpl w:val="5C442822"/>
    <w:lvl w:ilvl="0" w:tplc="A508CD3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1"/>
  </w:num>
  <w:num w:numId="4">
    <w:abstractNumId w:val="0"/>
  </w:num>
  <w:num w:numId="5">
    <w:abstractNumId w:val="5"/>
  </w:num>
  <w:num w:numId="6">
    <w:abstractNumId w:val="4"/>
  </w:num>
  <w:num w:numId="7">
    <w:abstractNumId w:val="3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A1B"/>
    <w:rsid w:val="00007EC9"/>
    <w:rsid w:val="0004564C"/>
    <w:rsid w:val="00085BC8"/>
    <w:rsid w:val="00086FC2"/>
    <w:rsid w:val="00094E8E"/>
    <w:rsid w:val="000B7A1E"/>
    <w:rsid w:val="000C53A8"/>
    <w:rsid w:val="000D4787"/>
    <w:rsid w:val="000D5BF3"/>
    <w:rsid w:val="0011679E"/>
    <w:rsid w:val="0012572E"/>
    <w:rsid w:val="001349BF"/>
    <w:rsid w:val="001400B9"/>
    <w:rsid w:val="00154EAE"/>
    <w:rsid w:val="001621E5"/>
    <w:rsid w:val="0017321F"/>
    <w:rsid w:val="00181DEB"/>
    <w:rsid w:val="00192E2E"/>
    <w:rsid w:val="001973CF"/>
    <w:rsid w:val="001A0232"/>
    <w:rsid w:val="001C3DFA"/>
    <w:rsid w:val="001D51E1"/>
    <w:rsid w:val="001F1482"/>
    <w:rsid w:val="001F49BD"/>
    <w:rsid w:val="00201DCD"/>
    <w:rsid w:val="002175E7"/>
    <w:rsid w:val="00227AE8"/>
    <w:rsid w:val="0024272A"/>
    <w:rsid w:val="00260FFF"/>
    <w:rsid w:val="0028018D"/>
    <w:rsid w:val="002804D0"/>
    <w:rsid w:val="0028064C"/>
    <w:rsid w:val="00297628"/>
    <w:rsid w:val="002D4B5A"/>
    <w:rsid w:val="002F2059"/>
    <w:rsid w:val="00300006"/>
    <w:rsid w:val="00311355"/>
    <w:rsid w:val="003171DF"/>
    <w:rsid w:val="0034178A"/>
    <w:rsid w:val="0035362A"/>
    <w:rsid w:val="003564B3"/>
    <w:rsid w:val="003722B0"/>
    <w:rsid w:val="00376460"/>
    <w:rsid w:val="003A134B"/>
    <w:rsid w:val="003B4ADB"/>
    <w:rsid w:val="003D141D"/>
    <w:rsid w:val="003F273D"/>
    <w:rsid w:val="00406CDF"/>
    <w:rsid w:val="0041289A"/>
    <w:rsid w:val="00416C9F"/>
    <w:rsid w:val="00481A5E"/>
    <w:rsid w:val="004900EC"/>
    <w:rsid w:val="0049404E"/>
    <w:rsid w:val="004A73AC"/>
    <w:rsid w:val="004C70A5"/>
    <w:rsid w:val="004D10A9"/>
    <w:rsid w:val="004E3053"/>
    <w:rsid w:val="004E76C8"/>
    <w:rsid w:val="004F111F"/>
    <w:rsid w:val="004F6847"/>
    <w:rsid w:val="0053775F"/>
    <w:rsid w:val="005478A9"/>
    <w:rsid w:val="005B3C7A"/>
    <w:rsid w:val="005B4360"/>
    <w:rsid w:val="005C5E6E"/>
    <w:rsid w:val="005D740A"/>
    <w:rsid w:val="005E01E6"/>
    <w:rsid w:val="005E1519"/>
    <w:rsid w:val="005E22BF"/>
    <w:rsid w:val="00610931"/>
    <w:rsid w:val="00611A1B"/>
    <w:rsid w:val="00621868"/>
    <w:rsid w:val="0062235C"/>
    <w:rsid w:val="00632F9A"/>
    <w:rsid w:val="006417EE"/>
    <w:rsid w:val="00661885"/>
    <w:rsid w:val="00670C4F"/>
    <w:rsid w:val="00680087"/>
    <w:rsid w:val="006E7C74"/>
    <w:rsid w:val="006F2FA7"/>
    <w:rsid w:val="006F3775"/>
    <w:rsid w:val="00701836"/>
    <w:rsid w:val="00715439"/>
    <w:rsid w:val="0072116D"/>
    <w:rsid w:val="0073192D"/>
    <w:rsid w:val="00741C6A"/>
    <w:rsid w:val="00750A31"/>
    <w:rsid w:val="00752F08"/>
    <w:rsid w:val="007637B7"/>
    <w:rsid w:val="0077012C"/>
    <w:rsid w:val="00772DAB"/>
    <w:rsid w:val="007838DA"/>
    <w:rsid w:val="007B05C5"/>
    <w:rsid w:val="007B1D83"/>
    <w:rsid w:val="007B2E9F"/>
    <w:rsid w:val="007B7092"/>
    <w:rsid w:val="007F294F"/>
    <w:rsid w:val="00807891"/>
    <w:rsid w:val="00817B59"/>
    <w:rsid w:val="00822A09"/>
    <w:rsid w:val="008247C0"/>
    <w:rsid w:val="008347B3"/>
    <w:rsid w:val="00837524"/>
    <w:rsid w:val="008452B4"/>
    <w:rsid w:val="00851555"/>
    <w:rsid w:val="00883CA2"/>
    <w:rsid w:val="00897120"/>
    <w:rsid w:val="008A4703"/>
    <w:rsid w:val="008B3E75"/>
    <w:rsid w:val="008F3BDF"/>
    <w:rsid w:val="00910ED8"/>
    <w:rsid w:val="00921FE3"/>
    <w:rsid w:val="009323E3"/>
    <w:rsid w:val="0095417C"/>
    <w:rsid w:val="0096485A"/>
    <w:rsid w:val="00973A41"/>
    <w:rsid w:val="009E3B7C"/>
    <w:rsid w:val="009E4997"/>
    <w:rsid w:val="009F09BF"/>
    <w:rsid w:val="009F0A19"/>
    <w:rsid w:val="009F29C0"/>
    <w:rsid w:val="009F3F31"/>
    <w:rsid w:val="009F41E9"/>
    <w:rsid w:val="00A21311"/>
    <w:rsid w:val="00A4032B"/>
    <w:rsid w:val="00A55001"/>
    <w:rsid w:val="00A65C20"/>
    <w:rsid w:val="00A740E9"/>
    <w:rsid w:val="00A76795"/>
    <w:rsid w:val="00A8352F"/>
    <w:rsid w:val="00A90E4E"/>
    <w:rsid w:val="00A91515"/>
    <w:rsid w:val="00AB3DC5"/>
    <w:rsid w:val="00AC5EF1"/>
    <w:rsid w:val="00AF4A2B"/>
    <w:rsid w:val="00AF4A8F"/>
    <w:rsid w:val="00AF788F"/>
    <w:rsid w:val="00B00AB3"/>
    <w:rsid w:val="00B0565E"/>
    <w:rsid w:val="00B10816"/>
    <w:rsid w:val="00B13C56"/>
    <w:rsid w:val="00B1555D"/>
    <w:rsid w:val="00B73713"/>
    <w:rsid w:val="00B81D8D"/>
    <w:rsid w:val="00B93D5A"/>
    <w:rsid w:val="00BA5454"/>
    <w:rsid w:val="00C355FC"/>
    <w:rsid w:val="00CA3E08"/>
    <w:rsid w:val="00CC1A9D"/>
    <w:rsid w:val="00CD2686"/>
    <w:rsid w:val="00CD5328"/>
    <w:rsid w:val="00CE022C"/>
    <w:rsid w:val="00CE74DA"/>
    <w:rsid w:val="00CF190B"/>
    <w:rsid w:val="00D0253C"/>
    <w:rsid w:val="00D06C11"/>
    <w:rsid w:val="00D331F8"/>
    <w:rsid w:val="00D80FF6"/>
    <w:rsid w:val="00D92560"/>
    <w:rsid w:val="00DA5BD2"/>
    <w:rsid w:val="00DD05B2"/>
    <w:rsid w:val="00DD48C8"/>
    <w:rsid w:val="00DE2D82"/>
    <w:rsid w:val="00DE6378"/>
    <w:rsid w:val="00E10434"/>
    <w:rsid w:val="00E13D06"/>
    <w:rsid w:val="00E26C12"/>
    <w:rsid w:val="00E31210"/>
    <w:rsid w:val="00E46E7A"/>
    <w:rsid w:val="00E84E02"/>
    <w:rsid w:val="00E97406"/>
    <w:rsid w:val="00EA253A"/>
    <w:rsid w:val="00EA297F"/>
    <w:rsid w:val="00ED7426"/>
    <w:rsid w:val="00EE4B97"/>
    <w:rsid w:val="00EE7E60"/>
    <w:rsid w:val="00EF62F6"/>
    <w:rsid w:val="00F02ADB"/>
    <w:rsid w:val="00F10ABB"/>
    <w:rsid w:val="00F403A2"/>
    <w:rsid w:val="00F700C8"/>
    <w:rsid w:val="00F75FF2"/>
    <w:rsid w:val="00F76C39"/>
    <w:rsid w:val="00FA3E27"/>
    <w:rsid w:val="00FC0652"/>
    <w:rsid w:val="00FC5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4CE7A48"/>
  <w15:docId w15:val="{83737391-D058-4060-8F2F-C40C1C80C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0652"/>
    <w:pPr>
      <w:spacing w:after="0" w:line="240" w:lineRule="auto"/>
      <w:jc w:val="both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564B3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564B3"/>
    <w:rPr>
      <w:rFonts w:ascii="Times New Roman" w:hAnsi="Times New Roman"/>
      <w:sz w:val="28"/>
    </w:rPr>
  </w:style>
  <w:style w:type="paragraph" w:styleId="Footer">
    <w:name w:val="footer"/>
    <w:basedOn w:val="Normal"/>
    <w:link w:val="FooterChar"/>
    <w:uiPriority w:val="99"/>
    <w:unhideWhenUsed/>
    <w:rsid w:val="003564B3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564B3"/>
    <w:rPr>
      <w:rFonts w:ascii="Times New Roman" w:hAnsi="Times New Roman"/>
      <w:sz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64B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64B3"/>
    <w:rPr>
      <w:rFonts w:ascii="Segoe UI" w:hAnsi="Segoe UI" w:cs="Segoe UI"/>
      <w:sz w:val="18"/>
      <w:szCs w:val="18"/>
    </w:rPr>
  </w:style>
  <w:style w:type="paragraph" w:styleId="NoSpacing">
    <w:name w:val="No Spacing"/>
    <w:aliases w:val="Табличный"/>
    <w:basedOn w:val="Normal"/>
    <w:link w:val="NoSpacingChar"/>
    <w:uiPriority w:val="1"/>
    <w:qFormat/>
    <w:rsid w:val="00DA5BD2"/>
    <w:pPr>
      <w:jc w:val="left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table" w:styleId="TableGrid">
    <w:name w:val="Table Grid"/>
    <w:basedOn w:val="TableNormal"/>
    <w:uiPriority w:val="39"/>
    <w:rsid w:val="001621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F1482"/>
    <w:pPr>
      <w:spacing w:after="160" w:line="256" w:lineRule="auto"/>
      <w:ind w:left="720"/>
      <w:contextualSpacing/>
      <w:jc w:val="left"/>
    </w:pPr>
    <w:rPr>
      <w:rFonts w:asciiTheme="minorHAnsi" w:hAnsiTheme="minorHAnsi"/>
      <w:sz w:val="22"/>
    </w:rPr>
  </w:style>
  <w:style w:type="paragraph" w:customStyle="1" w:styleId="Default">
    <w:name w:val="Default"/>
    <w:rsid w:val="0028064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06C11"/>
    <w:pPr>
      <w:jc w:val="left"/>
    </w:pPr>
    <w:rPr>
      <w:rFonts w:asciiTheme="minorHAnsi" w:hAnsiTheme="minorHAns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06C1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06C11"/>
    <w:rPr>
      <w:vertAlign w:val="superscript"/>
    </w:rPr>
  </w:style>
  <w:style w:type="paragraph" w:customStyle="1" w:styleId="a">
    <w:name w:val="Письмо"/>
    <w:basedOn w:val="Normal"/>
    <w:uiPriority w:val="99"/>
    <w:rsid w:val="00B13C56"/>
    <w:pPr>
      <w:autoSpaceDE w:val="0"/>
      <w:autoSpaceDN w:val="0"/>
      <w:spacing w:line="320" w:lineRule="exact"/>
      <w:ind w:firstLine="720"/>
    </w:pPr>
    <w:rPr>
      <w:rFonts w:eastAsia="Times New Roman" w:cs="Times New Roman"/>
      <w:szCs w:val="28"/>
      <w:lang w:eastAsia="ru-RU"/>
    </w:rPr>
  </w:style>
  <w:style w:type="character" w:styleId="Hyperlink">
    <w:name w:val="Hyperlink"/>
    <w:basedOn w:val="DefaultParagraphFont"/>
    <w:uiPriority w:val="99"/>
    <w:unhideWhenUsed/>
    <w:rsid w:val="00B13C56"/>
    <w:rPr>
      <w:color w:val="0563C1" w:themeColor="hyperlink"/>
      <w:u w:val="single"/>
    </w:rPr>
  </w:style>
  <w:style w:type="character" w:customStyle="1" w:styleId="NoSpacingChar">
    <w:name w:val="No Spacing Char"/>
    <w:aliases w:val="Табличный Char"/>
    <w:link w:val="NoSpacing"/>
    <w:uiPriority w:val="1"/>
    <w:locked/>
    <w:rsid w:val="00B13C56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168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ti-aeronet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34EAB4-7893-4ECB-B33F-1135B0894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4</Pages>
  <Words>1029</Words>
  <Characters>5868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Попов Александр Петрович</dc:creator>
  <cp:lastModifiedBy>vctos</cp:lastModifiedBy>
  <cp:revision>11</cp:revision>
  <cp:lastPrinted>2018-12-06T15:37:00Z</cp:lastPrinted>
  <dcterms:created xsi:type="dcterms:W3CDTF">2021-09-21T19:35:00Z</dcterms:created>
  <dcterms:modified xsi:type="dcterms:W3CDTF">2022-01-13T10:49:00Z</dcterms:modified>
</cp:coreProperties>
</file>